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header7.xml" ContentType="application/vnd.openxmlformats-officedocument.wordprocessingml.head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rFonts w:eastAsia="Calibri"/>
          <w:b w:val="false"/>
          <w:bCs w:val="false"/>
          <w:sz w:val="26"/>
          <w:szCs w:val="26"/>
        </w:rPr>
      </w:pPr>
      <w:r>
        <w:rPr>
          <w:rFonts w:eastAsia="Calibri"/>
          <w:b w:val="false"/>
          <w:bCs w:val="false"/>
          <w:sz w:val="26"/>
          <w:szCs w:val="26"/>
        </w:rPr>
        <w:t>Приложение №1 к Документации о закупке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sz w:val="26"/>
          <w:szCs w:val="26"/>
        </w:rPr>
      </w:pPr>
      <w:bookmarkStart w:id="0" w:name="_Toc137554584"/>
      <w:bookmarkStart w:id="1" w:name="_Toc139856287"/>
      <w:bookmarkStart w:id="2" w:name="_Toc141696704"/>
      <w:r>
        <w:rPr>
          <w:rFonts w:eastAsia="Calibri"/>
          <w:b/>
          <w:sz w:val="26"/>
          <w:szCs w:val="26"/>
        </w:rPr>
        <w:t xml:space="preserve"> </w:t>
      </w:r>
      <w:bookmarkEnd w:id="0"/>
      <w:bookmarkEnd w:id="1"/>
      <w:bookmarkEnd w:id="2"/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Times New Roman" w:cs="Times New Roman"/>
          <w:sz w:val="28"/>
        </w:rPr>
      </w:pPr>
      <w:r>
        <w:rPr>
          <w:rFonts w:eastAsia="Times New Roman" w:cs="Times New Roman"/>
          <w:b/>
          <w:sz w:val="28"/>
          <w:szCs w:val="26"/>
        </w:rPr>
        <w:t>Технические требования на выполнение работ</w:t>
      </w:r>
    </w:p>
    <w:p>
      <w:pPr>
        <w:pStyle w:val="Normal"/>
        <w:keepNext w:val="true"/>
        <w:keepLines/>
        <w:rPr>
          <w:rFonts w:ascii="Times New Roman" w:hAnsi="Times New Roman" w:eastAsia="Times New Roman" w:cs="Times New Roman"/>
          <w:sz w:val="28"/>
        </w:rPr>
      </w:pPr>
      <w:r>
        <w:rPr>
          <w:rFonts w:eastAsia="Times New Roman" w:cs="Times New Roman"/>
          <w:sz w:val="28"/>
        </w:rPr>
      </w:r>
    </w:p>
    <w:p>
      <w:pPr>
        <w:pStyle w:val="Normal"/>
        <w:spacing w:lineRule="auto" w:line="240" w:before="0" w:after="0"/>
        <w:jc w:val="center"/>
        <w:rPr>
          <w:b/>
          <w:bCs/>
        </w:rPr>
      </w:pPr>
      <w:r>
        <w:rPr>
          <w:rFonts w:eastAsia="Times New Roman" w:cs="Times New Roman"/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highlight w:val="white"/>
          <w:u w:val="none"/>
          <w:em w:val="none"/>
        </w:rPr>
        <w:t>«О</w:t>
      </w:r>
      <w:r>
        <w:rPr>
          <w:b/>
          <w:bCs/>
          <w:i w:val="false"/>
          <w:strike w:val="false"/>
          <w:dstrike w:val="false"/>
          <w:outline w:val="false"/>
          <w:shadow w:val="false"/>
          <w:u w:val="none"/>
          <w:em w:val="none"/>
        </w:rPr>
        <w:t>КПД2 42.11.10 Выполнение работ по восстановлению благоустройства территории при выполнении работ по текущему ремонту участка теплотрассы, г.Николаевск-на-Амуре для нужд структурного подразделения Николаевской ТЭЦ, АО «ДГК»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eastAsia="Open Sans" w:cs="Open Sans" w:ascii="Open Sans" w:hAnsi="Open Sans"/>
          <w:b/>
          <w:bCs/>
          <w:color w:val="000000"/>
          <w:sz w:val="22"/>
          <w:highlight w:val="white"/>
          <w:u w:val="none"/>
        </w:rPr>
        <w:t xml:space="preserve">                                       </w:t>
      </w:r>
      <w:r>
        <w:rPr>
          <w:rFonts w:eastAsia="Times New Roman" w:cs="Times New Roman"/>
          <w:b/>
          <w:bCs/>
          <w:color w:val="000000"/>
          <w:sz w:val="28"/>
          <w:szCs w:val="28"/>
          <w:highlight w:val="white"/>
          <w:u w:val="none"/>
        </w:rPr>
        <w:t xml:space="preserve"> </w:t>
      </w:r>
      <w:r>
        <w:rPr>
          <w:rFonts w:eastAsia="Times New Roman" w:cs="Times New Roman"/>
          <w:b/>
          <w:bCs/>
          <w:color w:val="000000"/>
          <w:sz w:val="28"/>
          <w:szCs w:val="28"/>
          <w:highlight w:val="white"/>
          <w:u w:val="none"/>
        </w:rPr>
        <w:t>ЛОТ № </w:t>
      </w:r>
      <w:r>
        <w:rPr>
          <w:rFonts w:eastAsia="Times New Roman" w:cs="Times New Roman"/>
          <w:b/>
          <w:bCs/>
          <w:color w:val="000000"/>
          <w:sz w:val="28"/>
          <w:szCs w:val="28"/>
          <w:u w:val="none"/>
        </w:rPr>
        <w:t>11028010-РЕМ ПРОД-2026-ДГК-НТЭЦ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white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highlight w:val="white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sz w:val="24"/>
        </w:rPr>
      </w:pPr>
      <w:r>
        <w:rPr>
          <w:rFonts w:eastAsia="Times New Roman" w:cs="Times New Roman"/>
          <w:b/>
          <w:sz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sz w:val="24"/>
        </w:rPr>
      </w:pPr>
      <w:r>
        <w:rPr>
          <w:rFonts w:eastAsia="Times New Roman" w:cs="Times New Roman"/>
          <w:b/>
          <w:sz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СОДЕРЖАНИЕ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tbl>
      <w:tblPr>
        <w:tblStyle w:val="977"/>
        <w:tblW w:w="974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56"/>
        <w:gridCol w:w="8329"/>
        <w:gridCol w:w="663"/>
      </w:tblGrid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val="ru-RU" w:eastAsia="ru-RU" w:bidi="ar-SA"/>
              </w:rPr>
              <w:t>1.</w:t>
            </w:r>
          </w:p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сведения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1.1.</w:t>
            </w:r>
          </w:p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Наименование закупаемой продукции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1.2.</w:t>
            </w:r>
          </w:p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Цель выполнения работ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>
          <w:trHeight w:val="205" w:hRule="atLeast"/>
        </w:trPr>
        <w:tc>
          <w:tcPr>
            <w:tcW w:w="9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            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Таблица 1. Перечень объектов заказчика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1.3.</w:t>
            </w:r>
          </w:p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cs="Times New Roman"/>
                <w:sz w:val="10"/>
                <w:szCs w:val="10"/>
              </w:rPr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>
          <w:trHeight w:val="242" w:hRule="atLeast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val="ru-RU" w:eastAsia="ru-RU" w:bidi="ar-SA"/>
              </w:rPr>
              <w:t>2.</w:t>
            </w:r>
          </w:p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продукции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2.1.</w:t>
            </w:r>
          </w:p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Требования к объемам и срокам выполнения работ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2.1.1.</w:t>
            </w:r>
          </w:p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Требования к видам и объемам работ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9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         </w:t>
            </w: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Таблица 2. Перечень и объем выполняемых работ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2.1.2.</w:t>
            </w:r>
          </w:p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Требования к срокам выполнения работ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</w:tr>
      <w:tr>
        <w:trPr>
          <w:trHeight w:val="414" w:hRule="atLeast"/>
        </w:trPr>
        <w:tc>
          <w:tcPr>
            <w:tcW w:w="9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         </w:t>
            </w: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Таблица 3. Требования к срокам выполнения работ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2.2.</w:t>
            </w:r>
          </w:p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Требования к качеству работ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9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        </w:t>
            </w: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 xml:space="preserve">    </w:t>
            </w:r>
            <w:r>
              <w:rPr>
                <w:rFonts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Таблица 4. Требования к качеству работ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val="ru-RU" w:eastAsia="ru-RU" w:bidi="ar-SA"/>
              </w:rPr>
              <w:t>3.</w:t>
            </w:r>
          </w:p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Требованиям к оформлению и составлению сметной документации на выполнение работ по программе ремонтов, реконструкции и техническому перевооружению</w:t>
            </w:r>
            <w:r>
              <w:rPr>
                <w:b/>
                <w:bCs/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 на этапе закупки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20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val="ru-RU" w:eastAsia="ru-RU" w:bidi="ar-SA"/>
              </w:rPr>
              <w:t>4.</w:t>
            </w:r>
          </w:p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Требованиям к оформлению и составлению сметной документации на выполнение работ по программе ремонтов, реконструкции и техническому перевооружению на этапе заключения (исполнения) договора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20</w:t>
            </w:r>
          </w:p>
        </w:tc>
      </w:tr>
      <w:tr>
        <w:trPr/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val="ru-RU" w:eastAsia="ru-RU" w:bidi="ar-SA"/>
              </w:rPr>
              <w:t>5.</w:t>
            </w:r>
          </w:p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val="ru-RU" w:eastAsia="ru-RU" w:bidi="ar-SA"/>
              </w:rPr>
              <w:t>Список приложений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20</w:t>
            </w:r>
          </w:p>
        </w:tc>
      </w:tr>
    </w:tbl>
    <w:p>
      <w:pPr>
        <w:pStyle w:val="Heading1"/>
        <w:numPr>
          <w:ilvl w:val="0"/>
          <w:numId w:val="0"/>
        </w:numPr>
        <w:ind w:left="5038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Heading1"/>
        <w:numPr>
          <w:ilvl w:val="0"/>
          <w:numId w:val="0"/>
        </w:numPr>
        <w:ind w:left="5038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Heading1"/>
        <w:numPr>
          <w:ilvl w:val="0"/>
          <w:numId w:val="0"/>
        </w:numPr>
        <w:ind w:left="5038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Heading1"/>
        <w:numPr>
          <w:ilvl w:val="0"/>
          <w:numId w:val="0"/>
        </w:numPr>
        <w:ind w:left="5038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4253" w:leader="none"/>
        </w:tabs>
        <w:spacing w:lineRule="auto" w:line="2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ListParagraph"/>
        <w:keepNext w:val="true"/>
        <w:numPr>
          <w:ilvl w:val="0"/>
          <w:numId w:val="12"/>
        </w:numPr>
        <w:spacing w:lineRule="auto" w:line="360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ОБЩИЕ СВЕДЕНИЯ</w:t>
      </w:r>
    </w:p>
    <w:p>
      <w:pPr>
        <w:pStyle w:val="ListParagraph"/>
        <w:keepNext w:val="true"/>
        <w:numPr>
          <w:ilvl w:val="1"/>
          <w:numId w:val="11"/>
        </w:numPr>
        <w:spacing w:lineRule="auto" w:line="360" w:before="0" w:after="142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Наименование закупаемой продукции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highlight w:val="white"/>
          <w:u w:val="none"/>
          <w:em w:val="none"/>
        </w:rPr>
        <w:t>«О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КПД2 42.11.10 Выполнение работ по восстановлению благоустройства территории при выполнении работ по текущему ремонту участка теплотрассы, г.Николаевск-на-Амуре для нужд структурного подразделения Николаевской ТЭЦ, АО «ДГК»</w:t>
      </w:r>
    </w:p>
    <w:p>
      <w:pPr>
        <w:pStyle w:val="Normal"/>
        <w:keepNext w:val="true"/>
        <w:keepLines/>
        <w:spacing w:lineRule="auto" w:line="240" w:before="0" w:after="0"/>
        <w:ind w:firstLine="85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ListParagraph"/>
        <w:keepNext w:val="true"/>
        <w:keepLines/>
        <w:numPr>
          <w:ilvl w:val="1"/>
          <w:numId w:val="11"/>
        </w:numPr>
        <w:spacing w:lineRule="auto" w:line="240" w:before="0" w:after="142"/>
        <w:ind w:left="0" w:firstLine="85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Цель выполнения работ</w:t>
      </w:r>
    </w:p>
    <w:p>
      <w:pPr>
        <w:pStyle w:val="Normal"/>
        <w:spacing w:lineRule="auto" w:line="240" w:before="0" w:after="0"/>
        <w:ind w:left="0" w:right="0" w:firstLine="567"/>
        <w:jc w:val="both"/>
        <w:rPr>
          <w:rFonts w:ascii="Times New Roman" w:hAnsi="Times New Roman" w:cs="Times New Roman"/>
          <w:b w:val="false"/>
          <w:bCs w:val="false"/>
          <w:strike w:val="false"/>
          <w:dstrike w:val="false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Целью выполнения работ является </w:t>
      </w:r>
      <w:r>
        <w:rPr>
          <w:rFonts w:eastAsia="Times New Roman" w:cs="Times New Roman"/>
          <w:color w:val="000000" w:themeColor="text1"/>
          <w:sz w:val="24"/>
          <w:szCs w:val="24"/>
        </w:rPr>
        <w:t xml:space="preserve">восстановление благоустройства территории после  выполнения работ по ремонту </w:t>
      </w:r>
      <w:r>
        <w:rPr>
          <w:rFonts w:eastAsia="Times New Roman" w:cs="Times New Roman"/>
          <w:color w:val="000000" w:themeColor="text1"/>
          <w:sz w:val="24"/>
          <w:szCs w:val="24"/>
          <w:highlight w:val="white"/>
        </w:rPr>
        <w:t xml:space="preserve">участков  тепловой сети: </w:t>
      </w:r>
      <w:r>
        <w:rPr>
          <w:rFonts w:eastAsia="Times New Roman" w:cs="Times New Roman"/>
          <w:b/>
          <w:bCs/>
          <w:color w:val="000000" w:themeColor="text1"/>
          <w:sz w:val="24"/>
          <w:szCs w:val="24"/>
          <w:highlight w:val="white"/>
        </w:rPr>
        <w:t>Объект№1-</w:t>
      </w:r>
      <w:r>
        <w:rPr>
          <w:rFonts w:eastAsia="Times New Roman" w:cs="Times New Roman"/>
          <w:color w:val="000000" w:themeColor="text1"/>
          <w:sz w:val="24"/>
          <w:szCs w:val="24"/>
          <w:highlight w:val="white"/>
        </w:rPr>
        <w:t xml:space="preserve"> на участке МТК-27-Луначарского 138-Орлова 9б; </w:t>
      </w:r>
      <w:r>
        <w:rPr>
          <w:rFonts w:eastAsia="Times New Roman" w:cs="Times New Roman"/>
          <w:b/>
          <w:bCs/>
          <w:color w:val="000000" w:themeColor="text1"/>
          <w:sz w:val="24"/>
          <w:szCs w:val="24"/>
          <w:highlight w:val="white"/>
        </w:rPr>
        <w:t>Объект№2</w:t>
      </w:r>
      <w:r>
        <w:rPr>
          <w:rFonts w:eastAsia="Times New Roman" w:cs="Times New Roman"/>
          <w:color w:val="000000" w:themeColor="text1"/>
          <w:sz w:val="24"/>
          <w:szCs w:val="24"/>
          <w:highlight w:val="white"/>
        </w:rPr>
        <w:t xml:space="preserve">- от МТК-2а  до  дом. по ул.Ленина 3 (МТС-банк) в г. Николаевске-на-Амуре,  с целью обеспечения исправного состояния, надежной эксплуатации, предупреждения </w:t>
      </w:r>
      <w:r>
        <w:rPr>
          <w:rFonts w:eastAsia="Times New Roman" w:cs="Times New Roman"/>
          <w:color w:val="000000" w:themeColor="text1"/>
          <w:sz w:val="24"/>
          <w:szCs w:val="24"/>
        </w:rPr>
        <w:t xml:space="preserve">преждевременного износа и </w:t>
      </w:r>
      <w:r>
        <w:rPr>
          <w:rFonts w:eastAsia="Times New Roman" w:cs="Times New Roman"/>
          <w:sz w:val="24"/>
          <w:szCs w:val="24"/>
        </w:rPr>
        <w:t>увеличения срока службы</w:t>
      </w:r>
      <w:r>
        <w:rPr>
          <w:rFonts w:eastAsia="Times New Roman" w:cs="Times New Roman"/>
          <w:strike w:val="false"/>
          <w:dstrike w:val="false"/>
          <w:sz w:val="24"/>
          <w:szCs w:val="24"/>
        </w:rPr>
        <w:t>.</w:t>
      </w:r>
    </w:p>
    <w:p>
      <w:pPr>
        <w:pStyle w:val="Normal"/>
        <w:spacing w:lineRule="auto" w:line="240" w:before="0" w:after="0"/>
        <w:ind w:left="0" w:right="0" w:firstLine="567"/>
        <w:jc w:val="both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/>
          <w:b w:val="false"/>
          <w:bCs w:val="false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 w:cs="Times New Roman"/>
          <w:sz w:val="24"/>
          <w:szCs w:val="24"/>
          <w:highlight w:val="none"/>
        </w:rPr>
      </w:pPr>
      <w:bookmarkStart w:id="3" w:name="undefined"/>
      <w:r>
        <w:rPr>
          <w:rFonts w:eastAsia="Times New Roman" w:cs="Times New Roman"/>
          <w:b/>
          <w:bCs/>
          <w:sz w:val="24"/>
          <w:szCs w:val="24"/>
        </w:rPr>
        <w:t xml:space="preserve">Таблица 1. </w:t>
      </w:r>
      <w:r>
        <w:rPr>
          <w:rFonts w:eastAsia="Times New Roman" w:cs="Times New Roman"/>
          <w:sz w:val="24"/>
          <w:szCs w:val="24"/>
        </w:rPr>
        <w:t>Перечень объектов заказчика</w:t>
      </w:r>
      <w:bookmarkEnd w:id="3"/>
    </w:p>
    <w:tbl>
      <w:tblPr>
        <w:tblW w:w="10129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7"/>
        <w:gridCol w:w="4663"/>
        <w:gridCol w:w="4899"/>
      </w:tblGrid>
      <w:tr>
        <w:trPr>
          <w:trHeight w:val="810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 w:cs="Times New Roman"/>
                <w:sz w:val="24"/>
                <w:szCs w:val="24"/>
              </w:rPr>
              <w:t>п/п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rFonts w:eastAsia="Times New Roman" w:cs="Times New Roman"/>
                <w:iCs/>
                <w:sz w:val="24"/>
                <w:szCs w:val="24"/>
              </w:rPr>
              <w:t>(место производства работ)</w:t>
            </w:r>
          </w:p>
        </w:tc>
      </w:tr>
      <w:tr>
        <w:trPr>
          <w:trHeight w:val="25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</w:tr>
      <w:tr>
        <w:trPr>
          <w:trHeight w:val="207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>Выполнение работ по восстановлению благоустройства территории участка  теплотрассы от</w:t>
            </w:r>
            <w:r>
              <w:rPr>
                <w:rFonts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highlight w:val="white"/>
              </w:rPr>
              <w:t>МТК-27-Луначарского 138-Орлова 9б (Инв.№ ХК000000000000001197)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СП «Николаевская ТЭЦ», 682469, Хабаровский край,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г. Николаевск на Амуре, от</w:t>
            </w:r>
            <w:r>
              <w:rPr>
                <w:rFonts w:eastAsia="Times New Roman" w:cs="Times New Roman"/>
                <w:sz w:val="24"/>
                <w:szCs w:val="24"/>
                <w:highlight w:val="white"/>
              </w:rPr>
              <w:t xml:space="preserve"> МТК-27- Луначарского,138 до ул. Орлова, 9б</w:t>
            </w:r>
          </w:p>
        </w:tc>
      </w:tr>
      <w:tr>
        <w:trPr>
          <w:trHeight w:val="1620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highlight w:val="white"/>
              </w:rPr>
              <w:t xml:space="preserve">Выполнение работ по восстановлению благоустройства территории  участка  теплотрассы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highlight w:val="white"/>
              </w:rPr>
              <w:t>от МТК-2а  до  дом. по ул.Ленина 3 (МТС-банк) (Инв.№ ХК000000000000001197)</w:t>
            </w:r>
          </w:p>
        </w:tc>
        <w:tc>
          <w:tcPr>
            <w:tcW w:w="4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СП «Николаевская ТЭЦ», 682469, Хабаровский край,</w:t>
            </w:r>
          </w:p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г. Николаевск на Амуре, от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от МТК-2а  до  дом. по ул.Ленина 3 (МТС-банк)</w:t>
            </w:r>
          </w:p>
        </w:tc>
      </w:tr>
    </w:tbl>
    <w:p>
      <w:pPr>
        <w:pStyle w:val="Heading1"/>
        <w:numPr>
          <w:ilvl w:val="0"/>
          <w:numId w:val="0"/>
        </w:numPr>
        <w:ind w:left="0" w:right="0" w:firstLine="709"/>
        <w:rPr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/>
          <w:b w:val="false"/>
          <w:bCs w:val="false"/>
          <w:sz w:val="24"/>
          <w:szCs w:val="24"/>
        </w:rPr>
      </w:r>
    </w:p>
    <w:p>
      <w:pPr>
        <w:pStyle w:val="Heading1"/>
        <w:numPr>
          <w:ilvl w:val="0"/>
          <w:numId w:val="0"/>
        </w:numPr>
        <w:ind w:left="0" w:right="0" w:firstLine="709"/>
        <w:rPr>
          <w:rFonts w:ascii="Times New Roman" w:hAnsi="Times New Roman" w:cs="Times New Roman"/>
          <w:b w:val="false"/>
          <w:bCs w:val="false"/>
          <w:sz w:val="24"/>
          <w:szCs w:val="24"/>
          <w:highlight w:val="none"/>
        </w:rPr>
      </w:pPr>
      <w:r>
        <w:rPr>
          <w:rFonts w:eastAsia="Times New Roman" w:cs="Times New Roman"/>
          <w:sz w:val="24"/>
          <w:szCs w:val="24"/>
        </w:rPr>
        <w:t>1.3.</w:t>
      </w:r>
      <w:r>
        <w:rPr>
          <w:rFonts w:eastAsia="Times New Roman" w:cs="Times New Roman"/>
          <w:b w:val="false"/>
          <w:bCs w:val="false"/>
          <w:sz w:val="24"/>
          <w:szCs w:val="24"/>
        </w:rPr>
        <w:t xml:space="preserve"> </w:t>
      </w:r>
      <w:bookmarkStart w:id="4" w:name="undefined_Копия_1"/>
      <w:bookmarkEnd w:id="4"/>
      <w:r>
        <w:rPr>
          <w:rFonts w:eastAsia="Times New Roman" w:cs="Times New Roman"/>
          <w:b w:val="false"/>
          <w:bCs w:val="false"/>
          <w:sz w:val="24"/>
          <w:szCs w:val="24"/>
        </w:rPr>
        <w:t>И</w:t>
      </w:r>
      <w:bookmarkStart w:id="5" w:name="undefined_Копия_2"/>
      <w:r>
        <w:rPr>
          <w:rFonts w:eastAsia="Times New Roman" w:cs="Times New Roman"/>
          <w:b w:val="false"/>
          <w:bCs w:val="false"/>
          <w:sz w:val="24"/>
          <w:szCs w:val="24"/>
        </w:rPr>
        <w:t xml:space="preserve">нформация в отношении исполнения договора, </w:t>
      </w:r>
      <w:bookmarkEnd w:id="5"/>
      <w:r>
        <w:rPr>
          <w:rFonts w:eastAsia="Times New Roman" w:cs="Times New Roman"/>
          <w:b w:val="false"/>
          <w:bCs w:val="false"/>
          <w:sz w:val="24"/>
          <w:szCs w:val="24"/>
        </w:rPr>
        <w:t xml:space="preserve">которая должна быть учтена при подготовке заявки </w:t>
      </w:r>
      <w:bookmarkStart w:id="6" w:name="undefined_Копия_3"/>
      <w:r>
        <w:rPr>
          <w:rFonts w:eastAsia="Times New Roman" w:cs="Times New Roman"/>
          <w:b w:val="false"/>
          <w:bCs w:val="false"/>
          <w:sz w:val="24"/>
          <w:szCs w:val="24"/>
        </w:rPr>
        <w:t>(в том числе перечень ресурсов, услуг и документов, предоставляемых заказчиком на этапе исполнения договора)</w:t>
      </w:r>
      <w:r>
        <w:rPr>
          <w:rFonts w:cs="Times New Roman"/>
          <w:b w:val="false"/>
          <w:bCs w:val="false"/>
          <w:sz w:val="24"/>
          <w:szCs w:val="24"/>
        </w:rPr>
        <w:t>.</w:t>
      </w:r>
    </w:p>
    <w:p>
      <w:pPr>
        <w:pStyle w:val="Heading3"/>
        <w:numPr>
          <w:ilvl w:val="0"/>
          <w:numId w:val="0"/>
        </w:numPr>
        <w:ind w:left="0" w:firstLine="709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 w:val="false"/>
          <w:bCs w:val="false"/>
          <w:sz w:val="24"/>
          <w:szCs w:val="24"/>
        </w:rPr>
        <w:t>1.3.1 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выполнения Работ по Договору.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keepNext w:val="true"/>
        <w:keepLines/>
        <w:spacing w:lineRule="auto" w:line="240" w:before="0" w:after="0"/>
        <w:ind w:firstLine="85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2. Требования к продукции</w:t>
      </w:r>
    </w:p>
    <w:p>
      <w:pPr>
        <w:pStyle w:val="Normal"/>
        <w:keepNext w:val="true"/>
        <w:keepLines/>
        <w:spacing w:lineRule="auto" w:line="240" w:before="0" w:after="0"/>
        <w:ind w:firstLine="850"/>
        <w:contextualSpacing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2.1. </w:t>
      </w:r>
      <w:r>
        <w:rPr>
          <w:rFonts w:eastAsia="Times New Roman" w:cs="Times New Roman"/>
          <w:sz w:val="24"/>
          <w:szCs w:val="24"/>
        </w:rPr>
        <w:t>Требования к объемам и срокам выполнения работ</w:t>
      </w:r>
    </w:p>
    <w:p>
      <w:pPr>
        <w:pStyle w:val="Heading1"/>
        <w:numPr>
          <w:ilvl w:val="0"/>
          <w:numId w:val="0"/>
        </w:numPr>
        <w:ind w:left="0" w:hanging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    </w:t>
      </w:r>
      <w:r>
        <w:rPr>
          <w:rFonts w:eastAsia="Times New Roman" w:cs="Times New Roman"/>
          <w:sz w:val="24"/>
          <w:szCs w:val="24"/>
        </w:rPr>
        <w:t>2.1.1.</w:t>
      </w:r>
      <w:bookmarkEnd w:id="6"/>
      <w:r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b w:val="false"/>
          <w:bCs w:val="false"/>
          <w:sz w:val="24"/>
          <w:szCs w:val="24"/>
        </w:rPr>
        <w:t>Требования к видам и объемам работ</w:t>
      </w:r>
    </w:p>
    <w:p>
      <w:pPr>
        <w:pStyle w:val="Normal"/>
        <w:keepNext w:val="true"/>
        <w:keepLines/>
        <w:spacing w:lineRule="auto" w:line="240" w:before="0" w:after="0"/>
        <w:ind w:firstLine="85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keepNext w:val="true"/>
        <w:keepLines/>
        <w:spacing w:lineRule="auto" w:line="240" w:before="0" w:after="0"/>
        <w:ind w:firstLine="850"/>
        <w:contextualSpacing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eastAsia="Times New Roman" w:cs="Times New Roman"/>
          <w:b/>
          <w:bCs/>
          <w:sz w:val="24"/>
          <w:szCs w:val="24"/>
        </w:rPr>
        <w:t>Таблица 2.</w:t>
      </w:r>
      <w:r>
        <w:rPr>
          <w:rFonts w:eastAsia="Times New Roman" w:cs="Times New Roman"/>
          <w:sz w:val="24"/>
          <w:szCs w:val="24"/>
        </w:rPr>
        <w:t xml:space="preserve"> Перечень и объем выполняемых работ</w:t>
      </w:r>
    </w:p>
    <w:tbl>
      <w:tblPr>
        <w:tblStyle w:val="977"/>
        <w:tblW w:w="10064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8"/>
        <w:gridCol w:w="3826"/>
        <w:gridCol w:w="2976"/>
        <w:gridCol w:w="2553"/>
      </w:tblGrid>
      <w:tr>
        <w:trPr/>
        <w:tc>
          <w:tcPr>
            <w:tcW w:w="708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3826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Наименование работ</w:t>
            </w:r>
          </w:p>
        </w:tc>
        <w:tc>
          <w:tcPr>
            <w:tcW w:w="2976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Единица измерения</w:t>
            </w:r>
          </w:p>
        </w:tc>
        <w:tc>
          <w:tcPr>
            <w:tcW w:w="2553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Кол -во</w:t>
            </w:r>
          </w:p>
        </w:tc>
      </w:tr>
      <w:tr>
        <w:trPr/>
        <w:tc>
          <w:tcPr>
            <w:tcW w:w="708" w:type="dxa"/>
            <w:tcBorders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3826" w:type="dxa"/>
            <w:tcBorders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976" w:type="dxa"/>
            <w:tcBorders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553" w:type="dxa"/>
            <w:tcBorders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</w:tr>
      <w:tr>
        <w:trPr>
          <w:trHeight w:val="905" w:hRule="atLeast"/>
        </w:trPr>
        <w:tc>
          <w:tcPr>
            <w:tcW w:w="708" w:type="dxa"/>
            <w:tcBorders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highlight w:val="white"/>
                <w:u w:val="none"/>
                <w:em w:val="none"/>
                <w:lang w:val="ru-RU" w:eastAsia="ru-RU" w:bidi="ar-SA"/>
              </w:rPr>
              <w:t>«О</w:t>
            </w:r>
            <w:r>
              <w:rPr>
                <w:rFonts w:eastAsia="Times New Roman" w:cs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КПД2 42.11.10 Выполнение работ по восстановлению благоустройства территории при выполнении работ по текущему ремонту участка теплотрассы, г.Николаевск-на-Амуре для нужд структурного подразделения Николаевской ТЭЦ, АО «ДГК»</w:t>
            </w:r>
          </w:p>
        </w:tc>
        <w:tc>
          <w:tcPr>
            <w:tcW w:w="5529" w:type="dxa"/>
            <w:gridSpan w:val="2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В соответствии с ведомостью объемов работ </w:t>
            </w: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  <w:lang w:val="ru-RU" w:eastAsia="ru-RU" w:bidi="ar-SA"/>
              </w:rPr>
              <w:t>(Приложение №1 к настоящим Техническим требованиям)</w:t>
            </w:r>
          </w:p>
        </w:tc>
      </w:tr>
    </w:tbl>
    <w:p>
      <w:pPr>
        <w:pStyle w:val="Normal"/>
        <w:keepNext w:val="true"/>
        <w:keepLines/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keepNext w:val="true"/>
        <w:keepLines/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keepNext w:val="true"/>
        <w:keepLines/>
        <w:spacing w:lineRule="auto" w:line="240" w:before="0" w:after="0"/>
        <w:contextualSpacing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keepNext w:val="true"/>
        <w:keepLines/>
        <w:spacing w:lineRule="auto" w:line="240" w:before="0" w:after="0"/>
        <w:ind w:firstLine="850"/>
        <w:contextualSpacing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eastAsia="Times New Roman" w:cs="Times New Roman"/>
          <w:sz w:val="24"/>
          <w:szCs w:val="24"/>
        </w:rPr>
        <w:t>2.1.2.</w:t>
        <w:tab/>
        <w:t>Требования к срокам выполнения работ</w:t>
      </w:r>
    </w:p>
    <w:p>
      <w:pPr>
        <w:pStyle w:val="Normal"/>
        <w:keepNext w:val="true"/>
        <w:keepLines/>
        <w:spacing w:lineRule="auto" w:line="240" w:before="0" w:after="0"/>
        <w:ind w:firstLine="850"/>
        <w:contextualSpacing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cs="Times New Roman"/>
          <w:b/>
          <w:bCs/>
          <w:sz w:val="24"/>
          <w:szCs w:val="24"/>
        </w:rPr>
        <w:t xml:space="preserve">Таблица 3. </w:t>
      </w:r>
      <w:r>
        <w:rPr>
          <w:rFonts w:cs="Times New Roman"/>
          <w:sz w:val="24"/>
          <w:szCs w:val="24"/>
        </w:rPr>
        <w:t>Требования к срокам выполнения работ</w:t>
      </w:r>
    </w:p>
    <w:tbl>
      <w:tblPr>
        <w:tblStyle w:val="977"/>
        <w:tblW w:w="10064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8"/>
        <w:gridCol w:w="4536"/>
        <w:gridCol w:w="2409"/>
        <w:gridCol w:w="2410"/>
      </w:tblGrid>
      <w:tr>
        <w:trPr/>
        <w:tc>
          <w:tcPr>
            <w:tcW w:w="708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4536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Наименование работ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началу срока выполнения работ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окончанию срока выполнения работ</w:t>
            </w:r>
          </w:p>
        </w:tc>
      </w:tr>
      <w:tr>
        <w:trPr/>
        <w:tc>
          <w:tcPr>
            <w:tcW w:w="708" w:type="dxa"/>
            <w:tcBorders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4536" w:type="dxa"/>
            <w:tcBorders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409" w:type="dxa"/>
            <w:tcBorders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410" w:type="dxa"/>
            <w:tcBorders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708" w:type="dxa"/>
            <w:tcBorders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highlight w:val="white"/>
                <w:u w:val="none"/>
                <w:em w:val="none"/>
                <w:lang w:val="ru-RU" w:eastAsia="ru-RU" w:bidi="ar-SA"/>
              </w:rPr>
              <w:t>«О</w:t>
            </w:r>
            <w:r>
              <w:rPr>
                <w:rFonts w:eastAsia="Times New Roman" w:cs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КПД2 42.11.10 Выполнение работ по восстановлению благоустройства территории при выполнении работ по текущему ремонту участка теплотрассы, г.Николаевск-на-Амуре для нужд структурного подразделения Николаевской ТЭЦ, АО «ДГК»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eastAsia="ru-RU" w:bidi="ar-SA"/>
              </w:rPr>
              <w:t>С даты заключения Договора</w:t>
            </w:r>
          </w:p>
        </w:tc>
        <w:tc>
          <w:tcPr>
            <w:tcW w:w="2410" w:type="dxa"/>
            <w:tcBorders/>
            <w:vAlign w:val="center"/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contextualSpacing/>
              <w:jc w:val="left"/>
              <w:rPr>
                <w:highlight w:val="none"/>
                <w:shd w:fill="auto" w:val="clear"/>
              </w:rPr>
            </w:pPr>
            <w:r>
              <w:rPr>
                <w:rFonts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 течении 1 (одного) месяца со дня заключения Договора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footerReference w:type="default" r:id="rId5"/>
          <w:type w:val="nextPage"/>
          <w:pgSz w:w="11906" w:h="16838"/>
          <w:pgMar w:left="1134" w:right="851" w:gutter="0" w:header="680" w:top="1134" w:footer="737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0"/>
          <w:numId w:val="0"/>
        </w:numPr>
        <w:ind w:left="0" w:hanging="0"/>
        <w:rPr/>
      </w:pPr>
      <w:r>
        <w:rPr/>
        <w:t xml:space="preserve">2.2 </w:t>
      </w:r>
      <w:bookmarkStart w:id="7" w:name="_Toc54646410"/>
      <w:bookmarkStart w:id="8" w:name="_Toc51339698"/>
      <w:r>
        <w:rPr/>
        <w:t xml:space="preserve">Требования к качеству работ </w:t>
      </w:r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highlight w:val="white"/>
          <w:u w:val="none"/>
          <w:em w:val="none"/>
          <w:lang w:val="ru-RU" w:eastAsia="ru-RU" w:bidi="ar-SA"/>
        </w:rPr>
        <w:t>«О</w:t>
      </w:r>
      <w:r>
        <w:rPr>
          <w:rFonts w:eastAsia="Times New Roman" w:cs="Times New Roman"/>
          <w:b w:val="false"/>
          <w:bCs w:val="false"/>
          <w:i w:val="false"/>
          <w:strike w:val="false"/>
          <w:dstrike w:val="false"/>
          <w:outline w:val="false"/>
          <w:shadow w:val="false"/>
          <w:kern w:val="0"/>
          <w:sz w:val="24"/>
          <w:szCs w:val="24"/>
          <w:u w:val="none"/>
          <w:em w:val="none"/>
          <w:lang w:val="ru-RU" w:eastAsia="ru-RU" w:bidi="ar-SA"/>
        </w:rPr>
        <w:t>КПД2 42.11.10 Выполнение работ по восстановлению благоустройства территории при выполнении работ по текущему ремонту участка теплотрассы, г.Николаевск-на-Амуре для нужд структурного подразделения Николаевской ТЭЦ, АО «ДГК»</w:t>
      </w:r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</w:rPr>
      </w:pPr>
      <w:r>
        <w:rPr>
          <w:sz w:val="24"/>
          <w:szCs w:val="24"/>
        </w:rPr>
        <w:t xml:space="preserve">Таблица 4. Требования к </w:t>
      </w:r>
      <w:bookmarkEnd w:id="8"/>
      <w:r>
        <w:rPr>
          <w:sz w:val="24"/>
          <w:szCs w:val="24"/>
        </w:rPr>
        <w:t>качеству работ</w:t>
      </w:r>
      <w:bookmarkEnd w:id="7"/>
      <w:r>
        <w:rPr>
          <w:sz w:val="24"/>
          <w:szCs w:val="24"/>
        </w:rPr>
        <w:t xml:space="preserve">                                                                            </w:t>
      </w:r>
      <w:r>
        <w:rPr>
          <w:bCs/>
          <w:sz w:val="22"/>
          <w:szCs w:val="22"/>
          <w:highlight w:val="white"/>
        </w:rPr>
        <w:t xml:space="preserve">Наименование работ: </w:t>
      </w:r>
      <w:r>
        <w:rPr>
          <w:sz w:val="22"/>
          <w:szCs w:val="22"/>
          <w:highlight w:val="white"/>
        </w:rPr>
        <w:t>работы в соответствии с Таблицей 2.</w:t>
      </w:r>
    </w:p>
    <w:tbl>
      <w:tblPr>
        <w:tblStyle w:val="977"/>
        <w:tblW w:w="1516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90"/>
        <w:gridCol w:w="2114"/>
        <w:gridCol w:w="12"/>
        <w:gridCol w:w="5813"/>
        <w:gridCol w:w="3685"/>
        <w:gridCol w:w="2551"/>
      </w:tblGrid>
      <w:tr>
        <w:trPr/>
        <w:tc>
          <w:tcPr>
            <w:tcW w:w="99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126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581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623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99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26" w:type="dxa"/>
            <w:gridSpan w:val="2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81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6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kern w:val="0"/>
                <w:lang w:val="ru-RU" w:eastAsia="ru-RU" w:bidi="ar-SA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12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8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36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1.</w:t>
            </w:r>
          </w:p>
        </w:tc>
        <w:tc>
          <w:tcPr>
            <w:tcW w:w="79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36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79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90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12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i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5813" w:type="dxa"/>
            <w:tcBorders/>
            <w:shd w:color="auto" w:fill="auto" w:val="clear"/>
          </w:tcPr>
          <w:p>
            <w:pPr>
              <w:pStyle w:val="BodyText"/>
              <w:widowControl w:val="false"/>
              <w:ind w:hanging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ab/>
              <w:t>СП 34.3330.2021 "СНиП 2.05.02-85* Автомобильные дороги" (с Изменением 1)(утв. Приказом Минстроем России от 9 февраля 2021 г. N 53/пр);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ab/>
            </w:r>
            <w:r>
              <w:rPr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СП 78.13330.2012 в редакции с изменениями № 1, № 2, № 3 (утверждены приказами Минстроя России от 16.12.2016 № 988/пр, от 19.10.2021 № 762/пр, от 28.12.2023 № 1022/пр)»</w:t>
            </w:r>
            <w:r>
              <w:rPr>
                <w:b w:val="false"/>
                <w:i w:val="false"/>
                <w:caps w:val="false"/>
                <w:smallCaps w:val="false"/>
                <w:color w:val="C9211E"/>
                <w:spacing w:val="0"/>
                <w:sz w:val="20"/>
                <w:szCs w:val="20"/>
              </w:rPr>
              <w:t>.</w:t>
            </w:r>
            <w:r>
              <w:rPr>
                <w:sz w:val="24"/>
                <w:szCs w:val="24"/>
              </w:rPr>
              <w:t>;</w:t>
            </w:r>
          </w:p>
          <w:p>
            <w:pPr>
              <w:pStyle w:val="BodyText"/>
              <w:widowControl w:val="false"/>
              <w:ind w:hanging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ab/>
              <w:t xml:space="preserve">"Правила организации технического обслуживания и ремонта объектов электроэнергетики» (утв. приказом Минэнерго РФ от 25.10.2017 г. № 1013). С учетом изменений внесенными приказами </w:t>
            </w:r>
            <w:r>
              <w:rPr>
                <w:rFonts w:ascii="PT Serif;serif" w:hAnsi="PT Serif;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sz w:val="24"/>
                <w:szCs w:val="24"/>
                <w:u w:val="none"/>
                <w:effect w:val="none"/>
                <w:shd w:fill="auto" w:val="clear"/>
              </w:rPr>
              <w:t>Минэнерго России от 13 июля 2020 года №555 и от 19 декабря 2023 года № 1180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ab/>
              <w:t>ОДМ 218.6.019-2016 Отраслевой дорожный методический документ. Рекомендации по организации движения и ограждению мест производства дорожных работ (издан на основании Распоряжения Росавтодора от 02.03.2016 N 303-р);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ПРАВИЛА БЛАГОУСТРОЙСТВА И СОДЕРЖАНИЯ ТЕРРИТОРИИ ГОРОДСКОГО ПОСЕЛЕНИЯ "ГОРОД НИКОЛАЕВСК-НА-АМУРЕ" (в ред. решений Совета депутатов городского поселения "Город Николаевск-на-Амуре" Николаевского муниципального района Хабаровского края от 25.04.2016 № 37-162, от 20.06.2016 № 39-182, от 29.09.2016 № 43-195, от 14.09.2017 № 67-282, от 12.02.2019 № 8-38, от 18.02.2020 № 24-81, от 25.12.2025 № 34-108)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ab/>
              <w:t>СП 48.13330.2019 «Организация строительства» Работы на объекте (Изменения N 1, утв. Приказом Минстроя РФ от 28.03.2022 N 207/пр. Изменением № 2 утв. Приказом Минстроя от 21 апреля 2025 года № 244/пр);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ab/>
              <w:t>СП 82.13330.2016 Свод правил. Благоустройство территорий. Актуализированная редакция СНиП III0-75(с изм. 1,2,3 ред. от 27.12.2024);</w:t>
            </w:r>
          </w:p>
          <w:p>
            <w:pPr>
              <w:pStyle w:val="BodyText"/>
              <w:widowControl w:val="false"/>
              <w:ind w:hanging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ab/>
              <w:t>СП 45.13330.2017 Свод правил. Земляные сооружения, основания и фундаменты. Актуализированная редакция СНиП 3.02.01-87 с изм.1,2,3,4 (4 июля 2026 года, приказ Минстроя от 3 июня 2026 г. № 354/пр).;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ab/>
              <w:t>СП 68.13330.2017 «Приемка в эксплуатацию законченных строительством объектов. Основные положения» (с Изм. N 1);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ab/>
              <w:t>Положением об организации контроля и приемке выполненных работ на ремонтируемых объектах, объектах модернизации, реконструкции и технического перевооружения- 21-003-2019;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ГОСТ Р 58406.1-2020 «Дороги автомобильные общего пользования. Смеси асфальтобетонные дорожные и асфальтобетон. Технические условия» в действующей редакции (с учётом в том числе внесённых изменение № 1 от 21.04.2022);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ГОСТ 33133-2014 в действующей редакции (с учётом поправок, в том числе опубликованной в ИУС № 10 за 2025 год, введённой в действие 4 августа 2025 года;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ГОСТ 32731-2014 «Дороги автомобильные общего пользования. Требования к проведению приемочных работ»;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12801-98 «Материалы на основе органических вяжущих для дорожного и аэродромного строительства.;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испытаний» ТР ТС 014/2011 «Безопасность автомобильных дорог»</w:t>
            </w:r>
          </w:p>
          <w:p>
            <w:pPr>
              <w:pStyle w:val="BodyText"/>
              <w:widowControl w:val="false"/>
              <w:spacing w:before="0" w:after="120"/>
              <w:ind w:hanging="0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 случае, если какой-либо из указанных нормативных документов был отменен в связи с выпуском новой редакции стандарта, то необходимо применять нормативный документ, принятый в его развитие.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hd w:val="clear" w:color="FEFEFE" w:fill="FEFEF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 по форме Технического требования, установленной в Документации о закупке</w:t>
            </w:r>
          </w:p>
        </w:tc>
        <w:tc>
          <w:tcPr>
            <w:tcW w:w="2551" w:type="dxa"/>
            <w:tcBorders/>
            <w:shd w:color="auto" w:fill="auto" w:val="clear"/>
          </w:tcPr>
          <w:p>
            <w:pPr>
              <w:pStyle w:val="Style3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</w:rPr>
            </w:pPr>
            <w:r>
              <w:rPr>
                <w:rFonts w:eastAsia="Times New Roman" w:cs="Arial Unicode MS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99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396" w:hRule="atLeast"/>
        </w:trPr>
        <w:tc>
          <w:tcPr>
            <w:tcW w:w="990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126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bCs/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highlight w:val="white"/>
                <w:lang w:val="ru-RU" w:eastAsia="ru-RU" w:bidi="ar-SA"/>
              </w:rPr>
              <w:t>Требования к организации процесса выполнения работ:</w:t>
            </w:r>
          </w:p>
        </w:tc>
        <w:tc>
          <w:tcPr>
            <w:tcW w:w="5813" w:type="dxa"/>
            <w:tcBorders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организационно–технических мероприятий, выполняемый при подготовке к работам, должен обеспечивать планомерное и качественное их выполнение в установленные сроки, качество выполняемых работ, оптимальное расходование материально-технических и трудовые ресурсов.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Изменения объемов работ, предусмотренных ведомостью планируемых работ, оформляются в соответствии с требованиями Правил ТОиР (ведомостью дополнительных работ по ремонту и протоколом исключения работ из ведомости планируемых работ по ремонту), согласовываются с Подрядчиком и утверждаются техническим руководителем структурного подразделения, ответственного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непосредственную эксплуатацию производственного объекта, определяется условиями договора.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Предоставить до начала работ контакты и наименования должностей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5 (пяти) рабочих дней с даты заключения Договора подряда предоставить Заказчику на согласование Проект производства работ (далее - ППР) с указанием общих методов и технологии работ, организационных вопросов.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bCs/>
                <w:kern w:val="0"/>
                <w:sz w:val="24"/>
                <w:szCs w:val="24"/>
                <w:highlight w:val="white"/>
                <w:lang w:val="ru-RU" w:eastAsia="ru-RU" w:bidi="ar-SA"/>
              </w:rPr>
              <w:t>Руководители работ подрядных организаций, участвующие в производстве Работ совместно с представителями Заказчика, осуществляют входной контроль качества применяемых материалов,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hd w:val="clear" w:color="FEFEFE" w:fill="FEFEF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 по форме Технического требования, установленной в Документации о закупке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551" w:type="dxa"/>
            <w:tcBorders/>
          </w:tcPr>
          <w:p>
            <w:pPr>
              <w:pStyle w:val="Style3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</w:rPr>
            </w:pPr>
            <w:r>
              <w:rPr>
                <w:rFonts w:eastAsia="Times New Roman" w:cs="Arial Unicode MS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887" w:hRule="atLeast"/>
        </w:trPr>
        <w:tc>
          <w:tcPr>
            <w:tcW w:w="990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126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i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Организационно-технические мероприятия по допуску персонала подрядчика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58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60"/>
              <w:ind w:hanging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kern w:val="0"/>
                <w:sz w:val="24"/>
                <w:szCs w:val="24"/>
                <w:highlight w:val="white"/>
                <w:lang w:val="ru-RU" w:eastAsia="ru-RU" w:bidi="ar-SA"/>
              </w:rPr>
              <w:t>Допуск персонала подрядчика для выполнения работ должен осуществляться в соответствии с: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406" w:leader="none"/>
              </w:tabs>
              <w:suppressAutoHyphens w:val="true"/>
              <w:spacing w:before="0" w:after="60"/>
              <w:ind w:left="35" w:hanging="360"/>
              <w:contextualSpacing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bCs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- Положением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о допуске персонала подрядных организаций к выполнению работ на объектах АО «ДГК» 22.1-504-2026</w:t>
            </w:r>
            <w:r>
              <w:rPr>
                <w:rFonts w:eastAsia="Times New Roman" w:cs="Times New Roman"/>
                <w:bCs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iCs/>
                <w:kern w:val="0"/>
                <w:sz w:val="28"/>
                <w:szCs w:val="28"/>
                <w:highlight w:val="white"/>
                <w:lang w:val="ru-RU" w:eastAsia="ru-RU" w:bidi="ar-SA"/>
              </w:rPr>
              <w:t>(</w:t>
            </w:r>
            <w:r>
              <w:rPr>
                <w:rFonts w:eastAsia="Times New Roman" w:cs="Times New Roman"/>
                <w:bCs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утвержден приказом АО «ДГК» № П-ДГК/649 от 22.07.2026)</w:t>
            </w:r>
          </w:p>
          <w:p>
            <w:pPr>
              <w:pStyle w:val="Normal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406" w:leader="none"/>
              </w:tabs>
              <w:suppressAutoHyphens w:val="true"/>
              <w:spacing w:before="0" w:after="60"/>
              <w:ind w:left="35" w:hanging="360"/>
              <w:contextualSpacing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kern w:val="0"/>
                <w:sz w:val="24"/>
                <w:szCs w:val="24"/>
                <w:highlight w:val="white"/>
                <w:lang w:val="ru-RU" w:eastAsia="ru-RU" w:bidi="ar-SA"/>
              </w:rPr>
              <w:t>Инструкция о пропускном и внутриобъектовом режимах на объектах АО «ДГК»; с обязательным оформлением необходимых нарядов-допусков.</w:t>
            </w:r>
            <w:r>
              <w:rPr>
                <w:rFonts w:eastAsia="Times New Roman" w:cs="Times New Roman"/>
                <w:bCs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 (Приложение №3 к Техническим требованиям).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/>
                <w:bCs/>
                <w:i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hd w:val="clear" w:color="FEFEFE" w:fill="FEFEF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 по форме Технического требования, установленной в Документации о закупке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551" w:type="dxa"/>
            <w:tcBorders/>
          </w:tcPr>
          <w:p>
            <w:pPr>
              <w:pStyle w:val="Style3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</w:rPr>
            </w:pPr>
            <w:r>
              <w:rPr>
                <w:rFonts w:eastAsia="Times New Roman" w:cs="Arial Unicode MS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99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 xml:space="preserve">Требования </w:t>
            </w:r>
            <w:r>
              <w:rPr>
                <w:b/>
                <w:kern w:val="0"/>
                <w:sz w:val="24"/>
                <w:szCs w:val="24"/>
                <w:highlight w:val="white"/>
                <w:lang w:val="ru-RU" w:eastAsia="ru-RU" w:bidi="ar-SA"/>
              </w:rPr>
              <w:t>к применяемым при выполнении работ материалам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0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126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lang w:val="ru-RU" w:eastAsia="ru-RU" w:bidi="ar-SA"/>
              </w:rPr>
              <w:t>Требования к используемым запасным частям и материалам</w:t>
            </w:r>
          </w:p>
        </w:tc>
        <w:tc>
          <w:tcPr>
            <w:tcW w:w="5813" w:type="dxa"/>
            <w:tcBorders/>
          </w:tcPr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406" w:leader="none"/>
              </w:tabs>
              <w:suppressAutoHyphens w:val="true"/>
              <w:spacing w:before="0" w:after="60"/>
              <w:ind w:lef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val="ru-RU" w:eastAsia="ru-RU" w:bidi="ar-SA"/>
              </w:rPr>
              <w:t>Материалы, необходимые для выполнения работ приобретаются Подрядчиком самостоятельно</w:t>
            </w:r>
            <w:r>
              <w:rPr>
                <w:rFonts w:eastAsia="Calibri"/>
                <w:bCs/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 в соответствии с приложением №1.1 к настоящим Техническим требованиям</w:t>
            </w:r>
            <w:r>
              <w:rPr>
                <w:rFonts w:eastAsia="Calibri"/>
                <w:bCs/>
                <w:kern w:val="0"/>
                <w:sz w:val="24"/>
                <w:szCs w:val="24"/>
                <w:lang w:val="ru-RU" w:eastAsia="ru-RU" w:bidi="ar-SA"/>
              </w:rPr>
              <w:t>: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406" w:leader="none"/>
              </w:tabs>
              <w:suppressAutoHyphens w:val="true"/>
              <w:spacing w:before="0" w:after="60"/>
              <w:ind w:lef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kern w:val="0"/>
                <w:sz w:val="24"/>
                <w:szCs w:val="24"/>
                <w:highlight w:val="white"/>
                <w:lang w:val="ru-RU" w:eastAsia="ru-RU" w:bidi="ar-SA"/>
              </w:rPr>
              <w:t>Все применяемые материалы должны быть новыми и не использованными ранее</w:t>
            </w:r>
            <w:r>
              <w:rPr>
                <w:rFonts w:eastAsia="Calibri"/>
                <w:bCs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40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highlight w:val="white"/>
                <w:lang w:val="ru-RU" w:eastAsia="ru-RU" w:bidi="ar-SA"/>
              </w:rPr>
              <w:t>Подрядчиком в работе могут быть применены эквивалентные материалы*, предварительно согласованные с Заказчиком.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40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highlight w:val="white"/>
                <w:lang w:val="ru-RU" w:eastAsia="ru-RU" w:bidi="ar-SA"/>
              </w:rPr>
              <w:t>В случае, если на этапе исполнения договора Подрядчиком, вместо материалов конкретных торговых знаков, марок и/или наименований, указанных в технической и сметной документации, будет применяться эквивалентная продукция, Подрядчик принимает на себя все затраты по внесению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kern w:val="0"/>
                <w:sz w:val="24"/>
                <w:szCs w:val="24"/>
                <w:highlight w:val="white"/>
                <w:lang w:val="ru-RU" w:eastAsia="ru-RU" w:bidi="ar-SA"/>
              </w:rPr>
              <w:t>* Эквивалентная продукция - это продукция, которая по техническим и функциональным характеристикам не уступает характеристикам, указанных в перечне материалов Подрядчика и технической документации.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ind w:firstLine="2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FEFEFE" w:fill="FEFEF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 по форме Технического требования, установленной в Документации о закупке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3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bCs/>
              </w:rPr>
            </w:pPr>
            <w:r>
              <w:rPr>
                <w:rFonts w:eastAsia="Times New Roman" w:cs="Arial Unicode MS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99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b/>
                <w:kern w:val="0"/>
                <w:sz w:val="24"/>
                <w:szCs w:val="24"/>
                <w:highlight w:val="white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0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126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highlight w:val="white"/>
                <w:lang w:val="ru-RU" w:eastAsia="ru-RU" w:bidi="ar-SA"/>
              </w:rPr>
              <w:t>Контроль качества используемых материалов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58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6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highlight w:val="white"/>
                <w:lang w:val="ru-RU" w:eastAsia="ru-RU" w:bidi="ar-SA"/>
              </w:rPr>
              <w:t>Материалы Подрядчика должны иметь сертификаты, паспорта и другие документы, подтверждающие их качество.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При осуществлении Подрядчиком входного контроля качества строительных материалов и изделий, поступивших на ремонтную площадку, обязательное наличие и ведение журнала входного учета и контроля качества получаемых материалов. Отсутствие записи о приемке материалов в данном журнале дает основание Заказчику в отказе приемки выполненных работ с использованием соответствующих материалов.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ind w:firstLine="456"/>
              <w:jc w:val="both"/>
              <w:rPr>
                <w:bCs/>
                <w:i/>
                <w:i/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highlight w:val="white"/>
                <w:lang w:val="ru-RU" w:eastAsia="ru-RU" w:bidi="ar-SA"/>
              </w:rPr>
              <w:t>Более Подробно требования указаны в проекте договора подряда (в том числе в разделе №2), который включен в состав Документации о закупке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hd w:val="clear" w:color="FEFEFE" w:fill="FEFEF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 по форме Технического требования, установленной в Документации о закупке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96" w:hRule="atLeast"/>
        </w:trPr>
        <w:tc>
          <w:tcPr>
            <w:tcW w:w="990" w:type="dxa"/>
            <w:tcBorders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126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highlight w:val="white"/>
                <w:lang w:val="ru-RU" w:eastAsia="ru-RU" w:bidi="ar-SA"/>
              </w:rPr>
              <w:t>Требования к контролю качества работ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58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60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Работы должны быть выполнены в полном соответствии с требованиями государственных стандартов, действующих строительных норм и правил, ПУЭ, НПБ, технических регламентов, санитарных норм и правил</w:t>
            </w:r>
            <w:r>
              <w:rPr>
                <w:bCs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before="0" w:after="60"/>
              <w:jc w:val="both"/>
              <w:rPr>
                <w:bCs/>
                <w:i/>
                <w:i/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highlight w:val="white"/>
                <w:lang w:val="ru-RU" w:eastAsia="ru-RU" w:bidi="ar-SA"/>
              </w:rPr>
              <w:t>Подробно указаны в проекте договора подряда (в том числе в разделе №2), который включен в состав Документации о закупке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Cs/>
                <w:i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hd w:val="clear" w:color="FEFEFE" w:fill="FEFEF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 по форме Технического требования, установленной в Документации о закупке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36" w:hRule="atLeast"/>
        </w:trPr>
        <w:tc>
          <w:tcPr>
            <w:tcW w:w="990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0" w:hanging="0"/>
              <w:contextualSpacing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1.5</w:t>
            </w:r>
          </w:p>
        </w:tc>
        <w:tc>
          <w:tcPr>
            <w:tcW w:w="79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highlight w:val="white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36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highlight w:val="white"/>
                <w:lang w:val="ru-RU" w:eastAsia="ru-RU" w:bidi="ar-SA"/>
              </w:rPr>
              <w:t>-//-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36" w:hRule="atLeast"/>
        </w:trPr>
        <w:tc>
          <w:tcPr>
            <w:tcW w:w="990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0" w:hanging="0"/>
              <w:contextualSpacing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1.5.1.</w:t>
            </w:r>
          </w:p>
        </w:tc>
        <w:tc>
          <w:tcPr>
            <w:tcW w:w="2126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60" w:after="60"/>
              <w:ind w:left="0" w:hanging="0"/>
              <w:jc w:val="left"/>
              <w:outlineLvl w:val="2"/>
              <w:rPr>
                <w:sz w:val="24"/>
                <w:szCs w:val="24"/>
              </w:rPr>
            </w:pPr>
            <w:r>
              <w:rPr>
                <w:rFonts w:eastAsia="Calibri"/>
                <w:i/>
                <w:kern w:val="0"/>
                <w:sz w:val="24"/>
                <w:szCs w:val="24"/>
                <w:highlight w:val="white"/>
                <w:lang w:val="ru-RU" w:eastAsia="ru-RU" w:bidi="ar-SA"/>
              </w:rPr>
              <w:t>Требования к безопасности выполняемых работ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81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ind w:hanging="0"/>
              <w:jc w:val="both"/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</w:pPr>
            <w:r>
              <w:rPr>
                <w:rStyle w:val="Strong1"/>
                <w:b w:val="false"/>
                <w:i w:val="false"/>
                <w:iCs/>
                <w:caps w:val="false"/>
                <w:smallCaps w:val="false"/>
                <w:color w:val="00A933"/>
                <w:spacing w:val="0"/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 </w:t>
            </w:r>
            <w:r>
              <w:rPr>
                <w:rStyle w:val="Strong1"/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highlight w:val="white"/>
                <w:lang w:val="ru-RU" w:eastAsia="ru-RU" w:bidi="ar-SA"/>
              </w:rPr>
              <w:t>-     Приказ Минтруда России от 11.12.2020 № 882н (в ред. от 29.04.2025) «Об утверждении Правил по охране труда при производстве дорожных строительных и ремонтно-строительных работ»</w:t>
            </w:r>
            <w:r>
              <w:rPr>
                <w:b w:val="false"/>
                <w:i w:val="false"/>
                <w:iCs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highlight w:val="white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spacing w:before="0" w:after="0"/>
              <w:ind w:hanging="0"/>
              <w:jc w:val="both"/>
              <w:rPr>
                <w:b w:val="false"/>
                <w:bCs w:val="false"/>
                <w:i/>
                <w:i/>
                <w:iCs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highlight w:val="white"/>
                <w:lang w:val="ru-RU" w:eastAsia="ru-RU" w:bidi="ar-SA"/>
              </w:rPr>
            </w:pPr>
            <w:r>
              <w:rPr>
                <w:rStyle w:val="Strong1"/>
                <w:b w:val="false"/>
                <w:bCs w:val="false"/>
                <w:i/>
                <w:iCs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-        </w:t>
            </w:r>
            <w:r>
              <w:rPr>
                <w:rStyle w:val="Strong1"/>
                <w:b w:val="false"/>
                <w:bCs w:val="false"/>
                <w:i w:val="false"/>
                <w:iCs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highlight w:val="white"/>
                <w:lang w:val="ru-RU" w:eastAsia="ru-RU" w:bidi="ar-SA"/>
              </w:rPr>
              <w:t>СП 78.13330.2012 «Автомобильные дороги» в ред. Изменений N 1, утв. Приказом Минстроя РФ от 16.12.2016 N 988/пр, N 2, утв. Приказом Минстроя РФ от 19.10.2021 N 762/пр, N 3, утв. Приказом Минстроя РФ от 28.12.2023 N 1022/пр)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/>
              <w:t>–</w:t>
            </w:r>
            <w:r>
              <w:rPr/>
              <w:tab/>
            </w:r>
            <w:r>
              <w:rPr>
                <w:sz w:val="24"/>
                <w:szCs w:val="24"/>
              </w:rPr>
              <w:t>«Правила безопасности опасных производственных объектов, на которых используются подъемные сооружения». Утверждено приказом Ростехнадзора № 461 от 26.11.2020г.(с изменениями: на 22 января 2024 года и на 16 апреля 2026 года);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ab/>
              <w:t>«Правила промышленной безопасности опасных производственных объектов, на которых используется оборудование, работающее под избыточным давлением». Приказ Ростехнадзора от 15.12.2020 г. № 536;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rStyle w:val="Strong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14:textFill>
                  <w14:solidFill>
                    <w14:srgbClr w14:val="000000">
                      <w14:alpha w14:val="12156"/>
                    </w14:srgbClr>
                  </w14:solidFill>
                </w14:textFill>
              </w:rPr>
              <w:t>СП 49.13330.2023 «Безопасность труда в строительстве. Часть 2. Строительное производство»</w:t>
            </w:r>
            <w:r>
              <w:rPr>
                <w:caps w:val="false"/>
                <w:smallCaps w:val="false"/>
                <w:color w:val="000000"/>
                <w:spacing w:val="0"/>
                <w:sz w:val="24"/>
                <w:szCs w:val="24"/>
                <w14:textFill>
                  <w14:solidFill>
                    <w14:srgbClr w14:val="000000">
                      <w14:alpha w14:val="12156"/>
                    </w14:srgbClr>
                  </w14:solidFill>
                </w14:textFill>
              </w:rPr>
              <w:t xml:space="preserve"> </w:t>
            </w:r>
            <w:r>
              <w:rPr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14:textFill>
                  <w14:solidFill>
                    <w14:srgbClr w14:val="000000">
                      <w14:alpha w14:val="12156"/>
                    </w14:srgbClr>
                  </w14:solidFill>
                </w14:textFill>
              </w:rPr>
              <w:t>(актуализированная редакция СНиП 12-04-2002)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–</w:t>
            </w: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ab/>
              <w:t>Федеральный закон «Технический регламент о требованиях пожарной безопасности» от 22.07.2008 № 123-ФЗ с изм. и допол. (актуальная редакция — от 4 августа 2026 года (№ 330-ФЗ)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В случае, если какой-либо из указанных нормативных документов был отменен в связи с выпуском новой редакции стандарта, то необходимо применять нормативный документ, принятый в его развитие.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Более подробно требования указаны в проекте договора подряда (в том числе в разделе №2), который включен в состав Документации о закупке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hd w:val="clear" w:color="FEFEFE" w:fill="FEFEF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 по форме Технического требования, установленной в Документации о закупке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36" w:hRule="atLeast"/>
        </w:trPr>
        <w:tc>
          <w:tcPr>
            <w:tcW w:w="990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0" w:hanging="0"/>
              <w:contextualSpacing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1.5.2.</w:t>
            </w:r>
          </w:p>
        </w:tc>
        <w:tc>
          <w:tcPr>
            <w:tcW w:w="2126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60" w:after="60"/>
              <w:ind w:left="0" w:hanging="0"/>
              <w:jc w:val="left"/>
              <w:outlineLvl w:val="2"/>
              <w:rPr>
                <w:sz w:val="24"/>
                <w:szCs w:val="24"/>
              </w:rPr>
            </w:pPr>
            <w:r>
              <w:rPr>
                <w:rFonts w:eastAsia="Calibri"/>
                <w:i/>
                <w:kern w:val="0"/>
                <w:sz w:val="24"/>
                <w:szCs w:val="24"/>
                <w:highlight w:val="white"/>
                <w:lang w:val="ru-RU" w:eastAsia="ru-RU" w:bidi="ar-SA"/>
              </w:rPr>
              <w:t>Соблюдение требований к пожарной безопасности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60" w:after="60"/>
              <w:ind w:left="0" w:hanging="0"/>
              <w:jc w:val="left"/>
              <w:outlineLvl w:val="2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581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Меры по</w:t>
            </w: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 xml:space="preserve">- Правила противопожарного режима в Российской Федерации, утверждены Постановлением Правительства РФ от 16.09.2020 № 1479 </w:t>
            </w:r>
            <w:r>
              <w:rPr>
                <w:b w:val="false"/>
                <w:i w:val="false"/>
                <w:caps w:val="false"/>
                <w:smallCaps w:val="false"/>
                <w:color w:val="444444"/>
                <w:spacing w:val="0"/>
                <w:kern w:val="0"/>
                <w:sz w:val="24"/>
                <w:szCs w:val="24"/>
                <w:lang w:val="ru-RU" w:eastAsia="ru-RU" w:bidi="ar-SA"/>
              </w:rPr>
              <w:t>(с изменениями на 3 февраля 2025 года)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- Федеральный закон «Технический регламент о требованиях пожарной безопасности» от 22.07.2008 № 123-ФЗ с изм. и допол. (актуальная редакция — от 4 августа 2026 года (№ 330-ФЗ);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- СО 22.1-04-16 Стандарт АО «ДГК». Пожарная безопасность энергопредприятия. Общие требования</w:t>
            </w:r>
            <w:r>
              <w:rPr>
                <w:i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- ГОСТ 12.1.004-91* Система стандартов безопасности труда. Пожарная безопасность. Общие требования.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Ремонтная площадка должна быть оснащена средствами пожаротушения.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hd w:val="clear" w:color="FEFEFE" w:fill="FEFEF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 по форме Технического требования, установленной в Документации о закупке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36" w:hRule="atLeast"/>
        </w:trPr>
        <w:tc>
          <w:tcPr>
            <w:tcW w:w="990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0" w:hanging="0"/>
              <w:contextualSpacing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1.5.3.</w:t>
            </w:r>
          </w:p>
        </w:tc>
        <w:tc>
          <w:tcPr>
            <w:tcW w:w="2126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60" w:after="60"/>
              <w:ind w:left="0" w:hanging="0"/>
              <w:jc w:val="left"/>
              <w:outlineLvl w:val="2"/>
              <w:rPr>
                <w:sz w:val="24"/>
                <w:szCs w:val="24"/>
              </w:rPr>
            </w:pPr>
            <w:r>
              <w:rPr>
                <w:rFonts w:eastAsia="Calibri"/>
                <w:i/>
                <w:kern w:val="0"/>
                <w:sz w:val="24"/>
                <w:szCs w:val="24"/>
                <w:highlight w:val="white"/>
                <w:lang w:val="ru-RU" w:eastAsia="ru-RU" w:bidi="ar-SA"/>
              </w:rPr>
              <w:t>Соблюдение требований к охране окружающей среды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60" w:after="60"/>
              <w:ind w:left="0" w:hanging="0"/>
              <w:jc w:val="left"/>
              <w:outlineLvl w:val="2"/>
              <w:rPr>
                <w:rFonts w:eastAsia="Calibri"/>
                <w:sz w:val="24"/>
                <w:szCs w:val="24"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</w:r>
          </w:p>
        </w:tc>
        <w:tc>
          <w:tcPr>
            <w:tcW w:w="58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При выполнении всех строительных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Отходы, строительный мусор должны своевременно вывозиться для дальнейшей утилизации.</w:t>
            </w:r>
          </w:p>
          <w:p>
            <w:pPr>
              <w:pStyle w:val="Normal"/>
              <w:widowControl w:val="false"/>
              <w:spacing w:before="0" w:after="0"/>
              <w:ind w:right="225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Мероприятия и работы по охране окружающей среды вести в соответствии:</w:t>
            </w:r>
          </w:p>
          <w:p>
            <w:pPr>
              <w:pStyle w:val="Normal"/>
              <w:widowControl w:val="false"/>
              <w:spacing w:before="0" w:after="0"/>
              <w:ind w:right="225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- Федеральный закон от 10.01.2002 № 7-ФЗ (ред. от 28.12.2025)"Об охране окружающей среды"(с изм. и доп., вступ. в силу с 01.03.2026);</w:t>
            </w:r>
          </w:p>
          <w:p>
            <w:pPr>
              <w:pStyle w:val="Normal"/>
              <w:widowControl w:val="false"/>
              <w:spacing w:before="0" w:after="0"/>
              <w:ind w:right="225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- Федеральный закон от 04.05.1999 № 96-ФЗ «Об охране атмосферного воздуха» (ред. от 28.12.2024 N 548-ФЗ) );</w:t>
            </w:r>
          </w:p>
          <w:p>
            <w:pPr>
              <w:pStyle w:val="Normal"/>
              <w:widowControl w:val="false"/>
              <w:spacing w:before="0" w:after="0"/>
              <w:ind w:right="225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- Водный кодекс Российской Федерации в ред. от 04.08.2026 N 301-ФЗ;</w:t>
            </w:r>
          </w:p>
          <w:p>
            <w:pPr>
              <w:pStyle w:val="Normal"/>
              <w:widowControl w:val="false"/>
              <w:spacing w:before="0" w:after="0"/>
              <w:ind w:right="225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- СП 34.3330.2021 "СНиП 2.05.02-85* Автомобильные дороги" (с Изменением 1)(утв. Приказом Минстроем России от 9 февраля 2021 г. N 53/пр);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firstLine="283"/>
              <w:jc w:val="both"/>
              <w:rPr>
                <w:bCs/>
                <w:i/>
                <w:i/>
                <w:sz w:val="24"/>
                <w:szCs w:val="24"/>
              </w:rPr>
            </w:pPr>
            <w:r>
              <w:rPr>
                <w:bCs/>
                <w:i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hd w:val="clear" w:color="FEFEFE" w:fill="FEFEF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 по форме Технического требования, установленной в Документации о закупке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336" w:hRule="atLeast"/>
        </w:trPr>
        <w:tc>
          <w:tcPr>
            <w:tcW w:w="990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0" w:hanging="0"/>
              <w:contextualSpacing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1.5.4.</w:t>
            </w:r>
          </w:p>
        </w:tc>
        <w:tc>
          <w:tcPr>
            <w:tcW w:w="2126" w:type="dxa"/>
            <w:gridSpan w:val="2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60" w:after="60"/>
              <w:ind w:left="0" w:hanging="0"/>
              <w:jc w:val="left"/>
              <w:outlineLvl w:val="2"/>
              <w:rPr>
                <w:sz w:val="24"/>
                <w:szCs w:val="24"/>
              </w:rPr>
            </w:pPr>
            <w:r>
              <w:rPr>
                <w:rFonts w:eastAsia="Calibri"/>
                <w:i/>
                <w:kern w:val="0"/>
                <w:sz w:val="24"/>
                <w:szCs w:val="24"/>
                <w:highlight w:val="white"/>
                <w:lang w:val="ru-RU" w:eastAsia="ru-RU" w:bidi="ar-SA"/>
              </w:rPr>
              <w:t>Соблюдение требований охраны труда</w:t>
            </w:r>
          </w:p>
        </w:tc>
        <w:tc>
          <w:tcPr>
            <w:tcW w:w="581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430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30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30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Организация ремонтной площадки, участков работ и рабочих мест должна обеспечивать безопасность труда работающих на всех этапах выполнения строительно-монтажных работ. Для производства работ в охранной зоне необходимо получить наряд-допуск.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283" w:leader="none"/>
              </w:tabs>
              <w:suppressAutoHyphens w:val="true"/>
              <w:bidi w:val="0"/>
              <w:spacing w:before="0" w:after="0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Правилах по охране труда при работе с инструментом и приспособлениями (утверждены приказом Министерства труда от 27.11.2020 № 835н);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  <w:tab w:val="left" w:pos="413" w:leader="none"/>
              </w:tabs>
              <w:spacing w:before="0" w:after="0"/>
              <w:ind w:left="62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Правила при погрузочно-разгрузочных работах и размещении грузов (утв. приказом Министерства труда и социальной защиты Российской Федерации от 28.10.2020г. №753н ред. от 29.04.2025);</w:t>
            </w:r>
          </w:p>
          <w:p>
            <w:pPr>
              <w:pStyle w:val="Normal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3" w:leader="none"/>
                <w:tab w:val="left" w:pos="413" w:leader="none"/>
              </w:tabs>
              <w:spacing w:before="0" w:after="0"/>
              <w:ind w:left="62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Правила при эксплуатации промышленного транспорта (напольный безрельсовый колесный транспорт) (утв. приказом Министерства труда и социальной защиты Российской Федерации от 18.11.2020г. №814н ред. от 29.04.2025);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ind w:left="62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ind w:left="62"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Более подробно требования указаны в проекте договора подряда (в том числе в разделе № 2), который включен в состав Документации о закупке)</w:t>
            </w:r>
            <w:r>
              <w:rPr>
                <w:i/>
                <w:kern w:val="0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hd w:val="clear" w:color="FEFEFE" w:fill="FEFEF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 по форме Технического требования, установленной в Документации о закупке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990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1.6</w:t>
            </w:r>
          </w:p>
        </w:tc>
        <w:tc>
          <w:tcPr>
            <w:tcW w:w="79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персоналу Подрядчика.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highlight w:val="white"/>
                <w:lang w:val="ru-RU" w:eastAsia="ru-RU" w:bidi="ar-SA"/>
              </w:rPr>
              <w:t>-//-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90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114" w:type="dxa"/>
            <w:tcBorders>
              <w:top w:val="nil"/>
              <w:right w:val="nil"/>
            </w:tcBorders>
            <w:vAlign w:val="center"/>
          </w:tcPr>
          <w:p>
            <w:pPr>
              <w:pStyle w:val="Style3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bCs/>
                <w:sz w:val="24"/>
                <w:szCs w:val="24"/>
              </w:rPr>
            </w:pPr>
            <w:r>
              <w:rPr>
                <w:rFonts w:eastAsia="Noto Serif CJK SC" w:cs="Arial Unicode MS"/>
                <w:b w:val="false"/>
                <w:i/>
                <w:kern w:val="0"/>
                <w:sz w:val="20"/>
                <w:szCs w:val="20"/>
                <w:lang w:val="ru-RU" w:eastAsia="ru-RU" w:bidi="ar-SA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5825" w:type="dxa"/>
            <w:gridSpan w:val="2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 подрядной организации должен выполнять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Работ. До начала проведения работ в рамках исполнения договора, после его заключения, Подрядчик предоставляет 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(огневых, грузоподъемных, работ с электро - и пневмоинструментом).</w:t>
            </w:r>
          </w:p>
        </w:tc>
        <w:tc>
          <w:tcPr>
            <w:tcW w:w="3685" w:type="dxa"/>
            <w:tcBorders>
              <w:top w:val="nil"/>
            </w:tcBorders>
          </w:tcPr>
          <w:p>
            <w:pPr>
              <w:pStyle w:val="Normal"/>
              <w:widowControl w:val="false"/>
              <w:jc w:val="left"/>
              <w:rPr/>
            </w:pPr>
            <w:r>
              <w:rPr/>
            </w:r>
          </w:p>
        </w:tc>
        <w:tc>
          <w:tcPr>
            <w:tcW w:w="255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90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39" w:type="dxa"/>
            <w:gridSpan w:val="3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368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55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0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highlight w:val="white"/>
                <w:lang w:val="ru-RU" w:eastAsia="ru-RU" w:bidi="ar-SA"/>
              </w:rPr>
              <w:t>Общие требования к результатам работ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Восстановленное благоустройство и после капитального ремонта должны соответствовать требованиям нормативно-технической документации в течение гарантийного срока.</w:t>
            </w:r>
          </w:p>
          <w:p>
            <w:pPr>
              <w:pStyle w:val="Normal"/>
              <w:widowControl w:val="false"/>
              <w:jc w:val="both"/>
              <w:rPr>
                <w:bCs/>
                <w:kern w:val="0"/>
                <w:highlight w:val="white"/>
                <w:lang w:val="ru-RU" w:eastAsia="ru-RU" w:bidi="ar-SA"/>
              </w:rPr>
            </w:pPr>
            <w:r>
              <w:rPr>
                <w:bCs/>
                <w:kern w:val="0"/>
                <w:highlight w:val="white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60" w:after="0"/>
              <w:jc w:val="both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3685" w:type="dxa"/>
            <w:vMerge w:val="restart"/>
            <w:tcBorders/>
          </w:tcPr>
          <w:p>
            <w:pPr>
              <w:pStyle w:val="Normal"/>
              <w:widowControl w:val="false"/>
              <w:shd w:val="clear" w:color="FEFEFE" w:fill="FEFEF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 по форме Технического требования, установленной в Документации о закупке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0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highlight w:val="white"/>
                <w:lang w:val="ru-RU" w:eastAsia="ru-RU" w:bidi="ar-SA"/>
              </w:rPr>
              <w:t>Требования к порядку приемки результатов работ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highlight w:val="white"/>
                <w:lang w:val="ru-RU" w:eastAsia="ru-RU" w:bidi="ar-SA"/>
              </w:rPr>
              <w:t>Подробно указаны в проекте договора подряда , который включен в состав Документации о закупке</w:t>
            </w:r>
            <w:r>
              <w:rPr>
                <w:kern w:val="0"/>
                <w:sz w:val="24"/>
                <w:szCs w:val="24"/>
                <w:highlight w:val="white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68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0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highlight w:val="white"/>
                <w:lang w:val="ru-RU" w:eastAsia="ru-RU" w:bidi="ar-SA"/>
              </w:rPr>
              <w:t>Требования к оформлению документации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310" w:hanging="0"/>
              <w:contextualSpacing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68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2990" w:hRule="atLeast"/>
        </w:trPr>
        <w:tc>
          <w:tcPr>
            <w:tcW w:w="99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2.3.1.</w:t>
            </w:r>
          </w:p>
        </w:tc>
        <w:tc>
          <w:tcPr>
            <w:tcW w:w="212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60" w:after="60"/>
              <w:ind w:left="0" w:hanging="0"/>
              <w:jc w:val="left"/>
              <w:outlineLvl w:val="2"/>
              <w:rPr>
                <w:sz w:val="24"/>
                <w:szCs w:val="24"/>
              </w:rPr>
            </w:pPr>
            <w:r>
              <w:rPr>
                <w:rFonts w:eastAsia="Calibri"/>
                <w:i/>
                <w:kern w:val="0"/>
                <w:sz w:val="24"/>
                <w:szCs w:val="24"/>
                <w:highlight w:val="white"/>
                <w:lang w:val="ru-RU" w:eastAsia="ru-RU" w:bidi="ar-SA"/>
              </w:rPr>
              <w:t>Общие требования к оформлению документации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Cs/>
                <w:sz w:val="24"/>
                <w:szCs w:val="24"/>
                <w:highlight w:val="white"/>
              </w:rPr>
            </w:pPr>
            <w:r>
              <w:rPr>
                <w:rFonts w:eastAsia="Calibri"/>
                <w:bCs/>
                <w:sz w:val="24"/>
                <w:szCs w:val="24"/>
                <w:highlight w:val="white"/>
              </w:rPr>
            </w:r>
          </w:p>
        </w:tc>
        <w:tc>
          <w:tcPr>
            <w:tcW w:w="581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Представить Заказчику электронные версии Акта </w:t>
              <w:br/>
              <w:t xml:space="preserve">КС-2 и Справки КС-3 на цифровом носителе в формате *gsfx ПК «ГРАНД Сметы», в формате *.pdf) и на бумажном носителе в 3-х экземплярах, исполнительную документацию в электронном виде (в формате *.pdf) и на бумажном носителе в 3-х экземплярах. Исполнительная документация должна быть оформлена в соответствии: </w:t>
            </w:r>
            <w:r>
              <w:rPr>
                <w:iCs/>
                <w:kern w:val="0"/>
                <w:sz w:val="24"/>
                <w:szCs w:val="24"/>
                <w:lang w:val="ru-RU" w:eastAsia="ru-RU" w:bidi="ar-SA"/>
              </w:rPr>
              <w:t>приказа</w:t>
            </w:r>
            <w:r>
              <w:rPr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от 16 мая 2023 г. N 344/пр 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строительства; положения об организации контроля и приёмки </w:t>
            </w: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утвержденным приказом № 555 от 29.11.2019 г. АО «ДГК»</w:t>
            </w:r>
          </w:p>
        </w:tc>
        <w:tc>
          <w:tcPr>
            <w:tcW w:w="368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336" w:hRule="atLeast"/>
        </w:trPr>
        <w:tc>
          <w:tcPr>
            <w:tcW w:w="990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2.3.2.</w:t>
            </w:r>
          </w:p>
        </w:tc>
        <w:tc>
          <w:tcPr>
            <w:tcW w:w="212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i/>
                <w:kern w:val="0"/>
                <w:sz w:val="24"/>
                <w:szCs w:val="24"/>
                <w:highlight w:val="white"/>
                <w:lang w:val="ru-RU" w:eastAsia="ru-RU" w:bidi="ar-SA"/>
              </w:rPr>
              <w:t>Состав документации включает в себя, но не ограничивается следующими документами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60" w:after="60"/>
              <w:ind w:left="0" w:hanging="0"/>
              <w:jc w:val="left"/>
              <w:outlineLvl w:val="2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5813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310" w:hanging="283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акт пред. ремонтного обследования объекта;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310" w:hanging="283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ведомость планируемых ремонтно-строительных работ;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310" w:hanging="283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акт готовности объекта к производству ремонтных работ;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310" w:hanging="283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акт приёмки из ремонта объекта;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310" w:hanging="283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310" w:hanging="283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акт освидетельствования скрытых работ;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310" w:hanging="283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исполнительные чертежи, схемы;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310" w:hanging="283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</w:p>
          <w:p>
            <w:pPr>
              <w:pStyle w:val="Normal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310" w:hanging="283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счета-фактуры на материалы, закупаемые Подрядчиком для использования в процессе ремонта.</w:t>
            </w:r>
          </w:p>
        </w:tc>
        <w:tc>
          <w:tcPr>
            <w:tcW w:w="368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99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highlight w:val="white"/>
                <w:lang w:val="ru-RU" w:eastAsia="ru-RU" w:bidi="ar-SA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от 30.12.2009 №384-ФЗ "Технический регламент о безопасности зданий и сооружений" (в ред.от 25.12.2023);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Федеральный законом «О техническом регулировании» №184- ФЗ от 27.12.2002 (в ред.от 23.07.2025 N 262-ФЗ);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  <w:highlight w:val="white"/>
                <w:lang w:val="ru-RU" w:eastAsia="ru-RU" w:bidi="ar-SA"/>
              </w:rPr>
              <w:t>"Правила промышленной безопасности при использовании оборудования, работающего под избыточным давлением"</w:t>
            </w:r>
            <w:r>
              <w:rPr>
                <w:rStyle w:val="FontStyle17"/>
                <w:color w:val="000000" w:themeColor="text1"/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 утвержденные приказом Федеральной службой по экологическому, технологическому и атомному надзору от 15.12.2020 г. №536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"Правила безопасности опасных производственных объектов, на которых используются подъемные сооружения" </w:t>
            </w:r>
            <w:r>
              <w:rPr>
                <w:rStyle w:val="FontStyle17"/>
                <w:color w:val="000000" w:themeColor="text1"/>
                <w:kern w:val="0"/>
                <w:sz w:val="24"/>
                <w:szCs w:val="24"/>
                <w:highlight w:val="white"/>
                <w:lang w:val="ru-RU" w:eastAsia="ru-RU" w:bidi="ar-SA"/>
              </w:rPr>
              <w:t>утвержденные приказом Федеральной службой по экологическому и атомному надзору от 26.11.2020 г. № 461.;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bCs/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Положением по формированию и управлению работой аварийных бригад при выполнении аварийных работ на оборудовании СП АО «ДГК» 21-004-2017.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hd w:val="clear" w:color="FEFEFE" w:fill="FEFEF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 по форме Технического требования, установленной в Документации о закупке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1515" w:hRule="atLeast"/>
        </w:trPr>
        <w:tc>
          <w:tcPr>
            <w:tcW w:w="99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highlight w:val="white"/>
                <w:lang w:val="ru-RU" w:eastAsia="ru-RU" w:bidi="ar-SA"/>
              </w:rPr>
              <w:t>Требования к ответственности и гарантиям подрядчика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ourier New"/>
                <w:bCs/>
                <w:i/>
                <w:i/>
                <w:color w:val="000000"/>
                <w:sz w:val="24"/>
                <w:szCs w:val="24"/>
              </w:rPr>
            </w:pPr>
            <w:r>
              <w:rPr>
                <w:rFonts w:eastAsia="Courier New"/>
                <w:i/>
                <w:color w:val="000000"/>
                <w:kern w:val="0"/>
                <w:sz w:val="24"/>
                <w:szCs w:val="24"/>
                <w:highlight w:val="white"/>
                <w:lang w:val="ru-RU" w:eastAsia="ru-RU" w:bidi="ru-RU"/>
              </w:rPr>
              <w:t xml:space="preserve">Подробно требования к сроку и объему предоставления гарантий указаны в проекте договора подряда </w:t>
            </w:r>
            <w:r>
              <w:rPr>
                <w:rFonts w:eastAsia="Courier New"/>
                <w:i/>
                <w:iCs/>
                <w:color w:val="000000"/>
                <w:kern w:val="0"/>
                <w:sz w:val="24"/>
                <w:szCs w:val="24"/>
                <w:highlight w:val="white"/>
                <w:lang w:val="ru-RU" w:eastAsia="ru-RU" w:bidi="ru-RU"/>
              </w:rPr>
              <w:t>(в том числе в разделе №7</w:t>
            </w:r>
            <w:r>
              <w:rPr>
                <w:rFonts w:eastAsia="Courier New"/>
                <w:i/>
                <w:color w:val="000000"/>
                <w:kern w:val="0"/>
                <w:sz w:val="24"/>
                <w:szCs w:val="24"/>
                <w:highlight w:val="white"/>
                <w:lang w:val="ru-RU" w:eastAsia="ru-RU" w:bidi="ru-RU"/>
              </w:rPr>
              <w:t>), который включен в состав Документации о закупке.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8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FEFEFE" w:fill="FEFEFE"/>
              <w:suppressAutoHyphens w:val="true"/>
              <w:spacing w:before="0" w:after="0"/>
              <w:jc w:val="center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 по форме Технического требования, установленной в Документации о закупке</w:t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0" w:hanging="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39" w:type="dxa"/>
            <w:gridSpan w:val="3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highlight w:val="white"/>
                <w:lang w:val="ru-RU" w:eastAsia="ru-RU" w:bidi="ar-SA"/>
              </w:rPr>
              <w:t>Требования к подрядчику (и субподрядчикам) и его обязательствам, влияющим на исполнение договора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highlight w:val="white"/>
                <w:lang w:val="ru-RU" w:eastAsia="ru-RU" w:bidi="ar-SA"/>
              </w:rPr>
              <w:t>Требования к субподрядным организациям, привлекаемым к выполнению работ: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left"/>
              <w:rPr>
                <w:bCs/>
                <w:i/>
                <w:i/>
                <w:sz w:val="24"/>
                <w:szCs w:val="24"/>
              </w:rPr>
            </w:pPr>
            <w:r>
              <w:rPr>
                <w:i/>
                <w:kern w:val="0"/>
                <w:sz w:val="24"/>
                <w:szCs w:val="24"/>
                <w:highlight w:val="white"/>
                <w:lang w:val="ru-RU" w:eastAsia="ru-RU" w:bidi="ar-SA"/>
              </w:rPr>
              <w:t>Подробно указаны в проекте договора подряда (в том числе в разделе №2), который включен в состав Документации о закупке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685" w:type="dxa"/>
            <w:vMerge w:val="continue"/>
            <w:tcBorders/>
          </w:tcPr>
          <w:p>
            <w:pPr>
              <w:pStyle w:val="Normal"/>
              <w:widowControl w:val="false"/>
              <w:jc w:val="left"/>
              <w:rPr/>
            </w:pPr>
            <w:r>
              <w:rPr/>
            </w:r>
          </w:p>
        </w:tc>
        <w:tc>
          <w:tcPr>
            <w:tcW w:w="2551" w:type="dxa"/>
            <w:tcBorders/>
          </w:tcPr>
          <w:p>
            <w:pPr>
              <w:pStyle w:val="Normal"/>
              <w:widowControl w:val="false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99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ind w:left="0" w:hanging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6.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4175" w:type="dxa"/>
            <w:gridSpan w:val="5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6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победителю</w:t>
            </w:r>
          </w:p>
        </w:tc>
      </w:tr>
      <w:tr>
        <w:trPr>
          <w:trHeight w:val="276" w:hRule="atLeast"/>
        </w:trPr>
        <w:tc>
          <w:tcPr>
            <w:tcW w:w="99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14175" w:type="dxa"/>
            <w:gridSpan w:val="5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60" w:after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Участник, признанный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 победителем </w:t>
            </w: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 закупочной процедуры, в течение 5 (пяти) рабочих дней после размещения протокола подведения  итогов закупки на сайте  www.zakupki.gov.ru  (до заключения договора), должен предоставить в адрес Заказчика на электронный адрес  (delnov-my@dgk.ru)  дополнительные документы. В случае не предоставления документов, указанных в данном пункте Технических требований в установленный срок, в соответствии с  условиями Документации о закупке, Победитель признается уклонившимся от заключения Договора и утрачивает статус Победителя, а  Закупочная комиссия имеет право выбрать в качестве Победителя иного Участника, занявшего следующее место в ранжировке заявок  после Победителя, из числа остальных допущенных заявок.</w:t>
            </w:r>
          </w:p>
        </w:tc>
      </w:tr>
      <w:tr>
        <w:trPr/>
        <w:tc>
          <w:tcPr>
            <w:tcW w:w="99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39" w:type="dxa"/>
            <w:gridSpan w:val="3"/>
            <w:vMerge w:val="restart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6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highlight w:val="white"/>
                <w:u w:val="single"/>
                <w:lang w:val="ru-RU" w:eastAsia="ru-RU" w:bidi="ar-SA"/>
              </w:rPr>
              <w:t xml:space="preserve">Требования к кадровым ресурсам победителя: </w:t>
            </w: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  <w:lang w:val="ru-RU" w:eastAsia="ru-RU" w:bidi="ar-SA"/>
              </w:rPr>
              <w:t>Согласно требования п.92 Постановления правительства  Российской федерации от 24.12.2021 г.No2464 «О порядке  обучения по охране труда и проверки знаний требований охраны труда»: иметь в наличие не менее   3 человек (руководитель,  производитель работ и всех членов бригады) документы  проверки знаний требований охраны труда.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60" w:after="0"/>
              <w:jc w:val="both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highlight w:val="white"/>
                <w:lang w:val="ru-RU" w:eastAsia="ru-RU" w:bidi="ar-SA"/>
              </w:rPr>
              <w:t>Требования к материально-техническим ресурсам победителя: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6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  <w:lang w:val="ru-RU" w:eastAsia="ru-RU" w:bidi="ar-SA"/>
              </w:rPr>
              <w:t>2) Победитель должен иметь в наличии на законных основаниях (на правах собственности/аренды/лизинга/ином законном праве использования, владения) минимальное количество дорожно-строительных машин: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6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  <w:lang w:val="ru-RU" w:eastAsia="ru-RU" w:bidi="ar-SA"/>
              </w:rPr>
              <w:t>-асфальтоукладчик гусеничный, максимальная ширина укладки 7 м и не менее 1шт.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6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highlight w:val="white"/>
                <w:lang w:val="ru-RU" w:eastAsia="ru-RU" w:bidi="ar-SA"/>
              </w:rPr>
              <w:t>- дорожный каток самоходный, масса 7 тонн не менее 1 шт.</w:t>
            </w:r>
          </w:p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6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eastAsia="Times New Roman" w:cs="Times New Roman"/>
                <w:sz w:val="24"/>
                <w:szCs w:val="24"/>
              </w:rPr>
            </w:r>
          </w:p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60" w:after="0"/>
              <w:jc w:val="both"/>
              <w:rPr>
                <w:rFonts w:ascii="Times New Roman" w:hAnsi="Times New Roman" w:cs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6236" w:type="dxa"/>
            <w:gridSpan w:val="2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60" w:after="0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  <w:t>Подтверждается:</w:t>
            </w:r>
          </w:p>
        </w:tc>
      </w:tr>
      <w:tr>
        <w:trPr/>
        <w:tc>
          <w:tcPr>
            <w:tcW w:w="990" w:type="dxa"/>
            <w:vMerge w:val="continue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7939" w:type="dxa"/>
            <w:gridSpan w:val="3"/>
            <w:vMerge w:val="continue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6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36" w:type="dxa"/>
            <w:gridSpan w:val="2"/>
            <w:tcBorders>
              <w:top w:val="nil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spacing w:lineRule="auto" w:line="240" w:before="6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1.Копиями документов проверки знаний требований охраны труда обученных   лиц,   не   менее   чем   на   3   человек,   (руководитель, производитель   работ   и   всех   членов   бригады),   которые   будут непосредственно на объектах выполнять работы по Наряду-допуску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6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2) Копии, заверенных Участником документов (в случае отсутствия собственных МТР), по своему усмотрению из перечисленных: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6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- договор аренды/ договор на оказание услуг дорожно-строительных машин,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6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- соглашения о намерениях заключить  договор аренды/ соглашение о намерениях заключить договор на оказание услуг дорожно-строительных машин,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6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- гарантийное письмо о заключении договора аренды/ гарантийное письмо о заключении договора на оказание услуг дорожно-строительных машин,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6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- иные документы, подтверждающие право владения/ распоряжения.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6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2.2) В случае привлечения для исполнения обязательств по договору третьих  лиц, исполнитель обязан предоставить Заказчику, документы, подтверждающие законность хозяйственных отношений исполнителя и третьих лиц (договор подряда, договор аренды, соглашение о намерениях, прочие).</w:t>
            </w:r>
          </w:p>
        </w:tc>
      </w:tr>
    </w:tbl>
    <w:p>
      <w:pPr>
        <w:sectPr>
          <w:headerReference w:type="default" r:id="rId6"/>
          <w:headerReference w:type="first" r:id="rId7"/>
          <w:footerReference w:type="default" r:id="rId8"/>
          <w:footerReference w:type="first" r:id="rId9"/>
          <w:type w:val="nextPage"/>
          <w:pgSz w:orient="landscape" w:w="16838" w:h="11906"/>
          <w:pgMar w:left="992" w:right="567" w:gutter="0" w:header="680" w:top="851" w:footer="737" w:bottom="794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1"/>
        <w:keepLines/>
        <w:numPr>
          <w:ilvl w:val="0"/>
          <w:numId w:val="13"/>
        </w:numPr>
        <w:tabs>
          <w:tab w:val="clear" w:pos="708"/>
          <w:tab w:val="left" w:pos="283" w:leader="none"/>
        </w:tabs>
        <w:spacing w:before="0" w:after="0"/>
        <w:ind w:left="0" w:hanging="0"/>
        <w:jc w:val="center"/>
        <w:rPr>
          <w:bCs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Требованиям к оформлению и составлению сметной документации на выполнение работ по программе ремонтов, реконструкции и техническому перевооружению</w:t>
      </w:r>
      <w:r>
        <w:rPr>
          <w:bCs/>
          <w:sz w:val="24"/>
          <w:szCs w:val="24"/>
        </w:rPr>
        <w:t xml:space="preserve"> на этапе закупки</w:t>
      </w:r>
    </w:p>
    <w:p>
      <w:pPr>
        <w:pStyle w:val="ListParagraph"/>
        <w:widowControl w:val="false"/>
        <w:numPr>
          <w:ilvl w:val="1"/>
          <w:numId w:val="13"/>
        </w:numPr>
        <w:spacing w:before="120" w:after="120"/>
        <w:ind w:left="0" w:firstLine="709"/>
        <w:contextualSpacing/>
        <w:jc w:val="both"/>
        <w:rPr/>
      </w:pPr>
      <w:r>
        <w:rPr/>
        <w:t>В обоснование стоимости своей заявки Участник предоставляет Коммерческое предложение по форме №3 (с учетом прилагаемой к ней инструкции по заполнению), приведенной в Документации о закупке (с указанием понижающего коэффициента. Размер данного коэффициента рекомендуется учитывать с округлением до 7 знаков после запятой).</w:t>
      </w:r>
    </w:p>
    <w:p>
      <w:pPr>
        <w:pStyle w:val="ListParagraph"/>
        <w:widowControl w:val="false"/>
        <w:numPr>
          <w:ilvl w:val="1"/>
          <w:numId w:val="13"/>
        </w:numPr>
        <w:tabs>
          <w:tab w:val="clear" w:pos="708"/>
          <w:tab w:val="left" w:pos="426" w:leader="none"/>
        </w:tabs>
        <w:spacing w:before="120" w:after="120"/>
        <w:ind w:left="0" w:firstLine="709"/>
        <w:contextualSpacing/>
        <w:jc w:val="both"/>
        <w:rPr/>
      </w:pPr>
      <w:r>
        <w:rPr/>
        <w:t>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ind w:left="360" w:hanging="0"/>
        <w:jc w:val="both"/>
        <w:rPr/>
      </w:pPr>
      <w:r>
        <w:rPr/>
      </w:r>
    </w:p>
    <w:p>
      <w:pPr>
        <w:pStyle w:val="ListParagraph"/>
        <w:widowControl w:val="false"/>
        <w:numPr>
          <w:ilvl w:val="0"/>
          <w:numId w:val="13"/>
        </w:numPr>
        <w:tabs>
          <w:tab w:val="clear" w:pos="708"/>
          <w:tab w:val="left" w:pos="283" w:leader="none"/>
        </w:tabs>
        <w:spacing w:before="0" w:after="0"/>
        <w:ind w:left="0" w:hanging="0"/>
        <w:contextualSpacing w:val="false"/>
        <w:jc w:val="center"/>
        <w:rPr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Требованиям к оформлению и составлению сметной документации на выполнение работ по программе ремонтов, реконструкции и техническому перевооружению</w:t>
      </w:r>
      <w:r>
        <w:rPr>
          <w:b/>
          <w:bCs/>
          <w:sz w:val="24"/>
          <w:szCs w:val="24"/>
        </w:rPr>
        <w:t xml:space="preserve"> на этапе заключения (исполнения) договора</w:t>
      </w:r>
    </w:p>
    <w:p>
      <w:pPr>
        <w:pStyle w:val="ListParagraph"/>
        <w:widowControl w:val="false"/>
        <w:numPr>
          <w:ilvl w:val="1"/>
          <w:numId w:val="13"/>
        </w:numPr>
        <w:tabs>
          <w:tab w:val="clear" w:pos="708"/>
          <w:tab w:val="left" w:pos="1134" w:leader="none"/>
        </w:tabs>
        <w:spacing w:before="120" w:after="120"/>
        <w:ind w:left="0" w:firstLine="709"/>
        <w:contextualSpacing/>
        <w:jc w:val="both"/>
        <w:rPr/>
      </w:pPr>
      <w:r>
        <w:rPr>
          <w:szCs w:val="23"/>
          <w:u w:val="single"/>
        </w:rPr>
        <w:t>Требования к оформлению и составлению сметной документации (при заключении договора):</w:t>
      </w:r>
    </w:p>
    <w:p>
      <w:pPr>
        <w:pStyle w:val="ListParagraph"/>
        <w:widowControl w:val="false"/>
        <w:numPr>
          <w:ilvl w:val="2"/>
          <w:numId w:val="13"/>
        </w:numPr>
        <w:tabs>
          <w:tab w:val="clear" w:pos="708"/>
          <w:tab w:val="left" w:pos="1134" w:leader="none"/>
        </w:tabs>
        <w:spacing w:before="0" w:after="0"/>
        <w:ind w:left="0" w:firstLine="709"/>
        <w:contextualSpacing w:val="false"/>
        <w:jc w:val="both"/>
        <w:rPr>
          <w:color w:val="000000" w:themeColor="text1"/>
        </w:rPr>
      </w:pPr>
      <w:r>
        <w:rPr>
          <w:szCs w:val="23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</w:t>
      </w:r>
      <w:r>
        <w:rPr>
          <w:szCs w:val="23"/>
          <w:highlight w:val="white"/>
        </w:rPr>
        <w:t>приложении № 4 к настоящим Техническим требованиям</w:t>
      </w:r>
      <w:r>
        <w:rPr>
          <w:szCs w:val="23"/>
        </w:rPr>
        <w:t xml:space="preserve">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</w:t>
      </w:r>
      <w:r>
        <w:rPr>
          <w:i/>
          <w:szCs w:val="23"/>
        </w:rPr>
        <w:t>(после начисления лимитированных затрат в случае составления одной сметы).</w:t>
      </w:r>
    </w:p>
    <w:p>
      <w:pPr>
        <w:pStyle w:val="ListParagraph"/>
        <w:widowControl w:val="false"/>
        <w:numPr>
          <w:ilvl w:val="2"/>
          <w:numId w:val="13"/>
        </w:numPr>
        <w:tabs>
          <w:tab w:val="clear" w:pos="708"/>
          <w:tab w:val="left" w:pos="1134" w:leader="none"/>
        </w:tabs>
        <w:spacing w:before="0" w:after="0"/>
        <w:ind w:left="0" w:firstLine="709"/>
        <w:contextualSpacing w:val="false"/>
        <w:jc w:val="both"/>
        <w:rPr/>
      </w:pPr>
      <w:r>
        <w:rPr>
          <w:bCs/>
          <w:color w:val="000000" w:themeColor="text1"/>
        </w:rPr>
        <w:t xml:space="preserve"> </w:t>
      </w:r>
      <w:r>
        <w:rPr>
          <w:szCs w:val="23"/>
        </w:rPr>
        <w:t>Внесение изменений в сметную документацию заказчика, кроме применения понижающего коэффициента в соответствии с п.4.1.1. не допускается.</w:t>
      </w:r>
    </w:p>
    <w:p>
      <w:pPr>
        <w:pStyle w:val="ListParagraph"/>
        <w:widowControl w:val="false"/>
        <w:numPr>
          <w:ilvl w:val="1"/>
          <w:numId w:val="13"/>
        </w:numPr>
        <w:tabs>
          <w:tab w:val="clear" w:pos="708"/>
          <w:tab w:val="left" w:pos="1134" w:leader="none"/>
        </w:tabs>
        <w:spacing w:before="0" w:after="0"/>
        <w:ind w:left="0" w:firstLine="709"/>
        <w:contextualSpacing w:val="false"/>
        <w:jc w:val="both"/>
        <w:rPr/>
      </w:pPr>
      <w:r>
        <w:rPr>
          <w:szCs w:val="23"/>
          <w:u w:val="single"/>
        </w:rPr>
        <w:t>Требования к оформлению и составлению сметной документации (на этапе исполнения договора):</w:t>
      </w:r>
    </w:p>
    <w:p>
      <w:pPr>
        <w:pStyle w:val="ListParagraph"/>
        <w:widowControl w:val="false"/>
        <w:numPr>
          <w:ilvl w:val="2"/>
          <w:numId w:val="13"/>
        </w:numPr>
        <w:tabs>
          <w:tab w:val="clear" w:pos="708"/>
          <w:tab w:val="left" w:pos="1134" w:leader="none"/>
        </w:tabs>
        <w:spacing w:before="0" w:after="0"/>
        <w:ind w:left="0" w:firstLine="709"/>
        <w:contextualSpacing w:val="false"/>
        <w:jc w:val="both"/>
        <w:rPr/>
      </w:pPr>
      <w:r>
        <w:rPr>
          <w:szCs w:val="23"/>
        </w:rPr>
        <w:t>В случае возникновения непредвиденных расходов,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4 к настоящим Техническим требованиям, с применением понижающего коэффициента, определённого по результатам конкурентной процедуры (п. 4.1.1).</w:t>
      </w:r>
    </w:p>
    <w:p>
      <w:pPr>
        <w:pStyle w:val="ListParagraph"/>
        <w:shd w:val="clear" w:color="auto" w:fill="FFFFFF"/>
        <w:tabs>
          <w:tab w:val="clear" w:pos="708"/>
          <w:tab w:val="left" w:pos="709" w:leader="none"/>
        </w:tabs>
        <w:spacing w:before="0" w:after="0"/>
        <w:ind w:left="0" w:firstLine="709"/>
        <w:contextualSpacing w:val="false"/>
        <w:jc w:val="both"/>
        <w:rPr>
          <w:color w:val="000000" w:themeColor="text1"/>
        </w:rPr>
      </w:pPr>
      <w:r>
        <w:rPr>
          <w:color w:val="000000" w:themeColor="text1"/>
        </w:rPr>
        <w:t xml:space="preserve">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 </w:t>
      </w:r>
    </w:p>
    <w:p>
      <w:pPr>
        <w:pStyle w:val="ListParagraph"/>
        <w:shd w:val="clear" w:color="auto" w:fill="FFFFFF"/>
        <w:tabs>
          <w:tab w:val="clear" w:pos="708"/>
          <w:tab w:val="left" w:pos="709" w:leader="none"/>
        </w:tabs>
        <w:spacing w:before="0" w:after="0"/>
        <w:ind w:left="284" w:hanging="0"/>
        <w:contextualSpacing w:val="false"/>
        <w:jc w:val="both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Heading1"/>
        <w:keepLines/>
        <w:numPr>
          <w:ilvl w:val="0"/>
          <w:numId w:val="0"/>
        </w:numPr>
        <w:spacing w:before="0" w:after="0"/>
        <w:ind w:left="0" w:hanging="0"/>
        <w:jc w:val="center"/>
        <w:rPr>
          <w:iCs/>
          <w:caps/>
        </w:rPr>
      </w:pPr>
      <w:r>
        <w:rPr>
          <w:iCs/>
        </w:rPr>
        <w:t>5. Приложения</w:t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spacing w:lineRule="auto" w:line="360"/>
        <w:ind w:right="97" w:hanging="0"/>
        <w:jc w:val="both"/>
        <w:rPr>
          <w:bCs/>
          <w:i/>
          <w:i/>
          <w:sz w:val="24"/>
          <w:szCs w:val="24"/>
          <w:highlight w:val="none"/>
        </w:rPr>
      </w:pPr>
      <w:r>
        <w:rPr>
          <w:sz w:val="24"/>
          <w:szCs w:val="24"/>
        </w:rPr>
        <w:t>Приложение № 1 - Ведомость объемов работ.</w:t>
      </w:r>
    </w:p>
    <w:p>
      <w:pPr>
        <w:pStyle w:val="Normal"/>
        <w:widowControl w:val="false"/>
        <w:spacing w:lineRule="auto" w:line="360"/>
        <w:ind w:right="97" w:hanging="0"/>
        <w:jc w:val="both"/>
        <w:rPr>
          <w:bCs w:val="false"/>
          <w:i w:val="false"/>
          <w:i w:val="false"/>
          <w:sz w:val="24"/>
          <w:szCs w:val="24"/>
          <w:highlight w:val="none"/>
        </w:rPr>
      </w:pPr>
      <w:r>
        <w:rPr>
          <w:bCs/>
          <w:i w:val="false"/>
          <w:iCs w:val="false"/>
          <w:sz w:val="24"/>
          <w:szCs w:val="24"/>
        </w:rPr>
        <w:t>Приложение №1.1 – Ведомость материалов подрядчика.</w:t>
      </w:r>
    </w:p>
    <w:p>
      <w:pPr>
        <w:pStyle w:val="Normal"/>
        <w:spacing w:lineRule="auto" w:line="360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>Приложение № 2 - Локальный сметный расчёт.</w:t>
      </w:r>
    </w:p>
    <w:p>
      <w:pPr>
        <w:pStyle w:val="Normal"/>
        <w:widowControl w:val="false"/>
        <w:spacing w:lineRule="auto" w:line="360"/>
        <w:ind w:right="97" w:hanging="0"/>
        <w:jc w:val="both"/>
        <w:rPr>
          <w:bCs/>
          <w:i/>
          <w:i/>
          <w:sz w:val="24"/>
          <w:szCs w:val="24"/>
          <w:highlight w:val="none"/>
        </w:rPr>
      </w:pPr>
      <w:r>
        <w:rPr>
          <w:sz w:val="24"/>
          <w:szCs w:val="24"/>
        </w:rPr>
        <w:t>Приложение №3 – Локально-нормативные акты.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№4 - </w:t>
      </w:r>
      <w:r>
        <w:rPr>
          <w:color w:val="000000" w:themeColor="text1"/>
          <w:sz w:val="24"/>
          <w:szCs w:val="24"/>
        </w:rPr>
        <w:t>Требования к оформлению и составлению сметной документации на выполнение работ по программе ремонтов, реконструкции и техническому перевооружению</w:t>
      </w:r>
      <w:r>
        <w:rPr>
          <w:sz w:val="24"/>
          <w:szCs w:val="24"/>
        </w:rPr>
        <w:t>.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pacing w:lineRule="auto" w:line="360"/>
        <w:ind w:right="97" w:hanging="0"/>
        <w:jc w:val="both"/>
        <w:rPr>
          <w:bCs/>
          <w:i/>
          <w:i/>
          <w:sz w:val="24"/>
          <w:szCs w:val="24"/>
          <w:highlight w:val="none"/>
        </w:rPr>
      </w:pPr>
      <w:r>
        <w:rPr>
          <w:bCs/>
          <w:i/>
          <w:sz w:val="24"/>
          <w:szCs w:val="24"/>
        </w:rPr>
      </w:r>
    </w:p>
    <w:p>
      <w:pPr>
        <w:pStyle w:val="Normal"/>
        <w:shd w:val="clear" w:color="auto" w:fill="FFFFFF"/>
        <w:tabs>
          <w:tab w:val="clear" w:pos="708"/>
          <w:tab w:val="left" w:pos="3148" w:leader="none"/>
          <w:tab w:val="center" w:pos="4818" w:leader="none"/>
          <w:tab w:val="left" w:pos="6926" w:leader="none"/>
        </w:tabs>
        <w:spacing w:lineRule="auto" w:line="360" w:before="0" w:after="0"/>
        <w:ind w:left="720" w:hanging="0"/>
        <w:contextualSpacing/>
        <w:jc w:val="left"/>
        <w:rPr>
          <w:rFonts w:ascii="Times New Roman" w:hAnsi="Times New Roman"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rPr/>
      </w:pPr>
      <w:r>
        <w:rPr/>
      </w:r>
    </w:p>
    <w:sectPr>
      <w:headerReference w:type="default" r:id="rId10"/>
      <w:headerReference w:type="first" r:id="rId11"/>
      <w:footerReference w:type="default" r:id="rId12"/>
      <w:footerReference w:type="first" r:id="rId13"/>
      <w:type w:val="nextPage"/>
      <w:pgSz w:w="11906" w:h="16838"/>
      <w:pgMar w:left="1134" w:right="851" w:gutter="0" w:header="680" w:top="1134" w:footer="737" w:bottom="79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Open Sans">
    <w:charset w:val="01"/>
    <w:family w:val="roman"/>
    <w:pitch w:val="variable"/>
  </w:font>
  <w:font w:name="PT Serif">
    <w:altName w:val="serif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0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0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18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20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 w:val="false"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11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36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11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36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decimal"/>
      <w:lvlText w:val="%1"/>
      <w:lvlJc w:val="left"/>
      <w:pPr>
        <w:tabs>
          <w:tab w:val="num" w:pos="0"/>
        </w:tabs>
        <w:ind w:left="705" w:hanging="705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qFormat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pPr>
      <w:numPr>
        <w:ilvl w:val="1"/>
      </w:num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CaptionChar" w:customStyle="1">
    <w:name w:val="Caption Char"/>
    <w:uiPriority w:val="99"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1" w:customStyle="1">
    <w:name w:val="Нижний колонтитул Знак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2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Strong1">
    <w:name w:val="Strong1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3" w:customStyle="1">
    <w:name w:val="Название Знак"/>
    <w:link w:val="16"/>
    <w:uiPriority w:val="10"/>
    <w:qFormat/>
    <w:rPr>
      <w:sz w:val="28"/>
    </w:rPr>
  </w:style>
  <w:style w:type="character" w:styleId="Style4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</w:rPr>
  </w:style>
  <w:style w:type="character" w:styleId="Style5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6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4"/>
    <w:qFormat/>
    <w:rPr>
      <w:sz w:val="28"/>
    </w:rPr>
  </w:style>
  <w:style w:type="character" w:styleId="Style7" w:customStyle="1">
    <w:name w:val="Текст сноски Знак"/>
    <w:uiPriority w:val="99"/>
    <w:qFormat/>
    <w:rPr/>
  </w:style>
  <w:style w:type="character" w:styleId="Style8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9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Style10" w:customStyle="1">
    <w:name w:val="комментарий"/>
    <w:qFormat/>
    <w:rPr>
      <w:b/>
      <w:i/>
      <w:shd w:fill="FFFF99" w:val="clear"/>
    </w:rPr>
  </w:style>
  <w:style w:type="character" w:styleId="Style11" w:customStyle="1">
    <w:name w:val="Подподпункт Знак"/>
    <w:link w:val="Style32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2" w:customStyle="1">
    <w:name w:val="Верхний колонтитул Знак"/>
    <w:uiPriority w:val="99"/>
    <w:qFormat/>
    <w:rPr>
      <w:sz w:val="24"/>
      <w:szCs w:val="24"/>
    </w:rPr>
  </w:style>
  <w:style w:type="character" w:styleId="Style13" w:customStyle="1">
    <w:name w:val="Текст примечания Знак"/>
    <w:link w:val="Annotationtext"/>
    <w:semiHidden/>
    <w:qFormat/>
    <w:rPr/>
  </w:style>
  <w:style w:type="character" w:styleId="Style14" w:customStyle="1">
    <w:name w:val="Текст концевой сноски Знак"/>
    <w:basedOn w:val="DefaultParagraphFont"/>
    <w:qFormat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Pr>
      <w:b/>
      <w:sz w:val="28"/>
    </w:rPr>
  </w:style>
  <w:style w:type="character" w:styleId="12" w:customStyle="1">
    <w:name w:val="УРОВЕНЬ_1. Знак"/>
    <w:link w:val="110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FontStyle17" w:customStyle="1">
    <w:name w:val="Font Style17"/>
    <w:qFormat/>
    <w:rPr>
      <w:rFonts w:ascii="Times New Roman" w:hAnsi="Times New Roman"/>
      <w:sz w:val="20"/>
      <w:szCs w:val="20"/>
    </w:rPr>
  </w:style>
  <w:style w:type="character" w:styleId="Style16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17">
    <w:name w:val="РГ_приложение Знак"/>
    <w:qFormat/>
    <w:rPr>
      <w:rFonts w:ascii="Times New Roman" w:hAnsi="Times New Roman" w:eastAsia="Times New Roman" w:cs="Calibri"/>
      <w:caps/>
      <w:color w:val="000000"/>
      <w:szCs w:val="28"/>
    </w:rPr>
  </w:style>
  <w:style w:type="character" w:styleId="14">
    <w:name w:val="Абзац списка Знак1"/>
    <w:qFormat/>
    <w:rPr>
      <w:rFonts w:ascii="Calibri" w:hAnsi="Calibri" w:eastAsia="Times New Roman" w:cs="Times New Roman"/>
      <w:color w:val="000000"/>
      <w:sz w:val="24"/>
    </w:rPr>
  </w:style>
  <w:style w:type="character" w:styleId="Strong">
    <w:name w:val="Strong"/>
    <w:qFormat/>
    <w:rPr>
      <w:b/>
      <w:bCs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8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next w:val="Normal"/>
    <w:link w:val="CaptionChar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Normal"/>
    <w:link w:val="Styl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Style20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21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2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7"/>
    <w:uiPriority w:val="99"/>
    <w:pPr/>
    <w:rPr>
      <w:sz w:val="20"/>
      <w:szCs w:val="20"/>
    </w:rPr>
  </w:style>
  <w:style w:type="paragraph" w:styleId="15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link w:val="Style3"/>
    <w:uiPriority w:val="10"/>
    <w:qFormat/>
    <w:pPr>
      <w:jc w:val="center"/>
    </w:pPr>
    <w:rPr>
      <w:szCs w:val="20"/>
    </w:rPr>
  </w:style>
  <w:style w:type="paragraph" w:styleId="Style23">
    <w:name w:val="Колонтитул"/>
    <w:basedOn w:val="Normal"/>
    <w:qFormat/>
    <w:pPr/>
    <w:rPr/>
  </w:style>
  <w:style w:type="paragraph" w:styleId="Header">
    <w:name w:val="Header"/>
    <w:basedOn w:val="Normal"/>
    <w:link w:val="Style12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4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80" w:hanging="0"/>
    </w:pPr>
    <w:rPr>
      <w:rFonts w:cs="Calibri" w:cstheme="minorHAnsi"/>
      <w:sz w:val="20"/>
      <w:szCs w:val="20"/>
    </w:rPr>
  </w:style>
  <w:style w:type="paragraph" w:styleId="Style25" w:customStyle="1">
    <w:name w:val="Раздел регламента"/>
    <w:basedOn w:val="Normal"/>
    <w:qFormat/>
    <w:pPr/>
    <w:rPr/>
  </w:style>
  <w:style w:type="paragraph" w:styleId="Style26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3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17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uiPriority w:val="39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7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4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9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5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Heading1"/>
    <w:next w:val="Normal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6"/>
    <w:uiPriority w:val="99"/>
    <w:unhideWhenUsed/>
    <w:qFormat/>
    <w:pPr/>
    <w:rPr>
      <w:rFonts w:eastAsia="Calibri"/>
      <w:sz w:val="24"/>
      <w:szCs w:val="24"/>
    </w:rPr>
  </w:style>
  <w:style w:type="paragraph" w:styleId="Style28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Arial Unicode MS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Noto Serif CJK SC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9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8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0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31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2" w:customStyle="1">
    <w:name w:val="Подподпункт"/>
    <w:basedOn w:val="Style24"/>
    <w:link w:val="Style11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</w:rPr>
  </w:style>
  <w:style w:type="paragraph" w:styleId="Style33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4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9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</w:rPr>
  </w:style>
  <w:style w:type="paragraph" w:styleId="EndnoteText">
    <w:name w:val="Endnote Text"/>
    <w:basedOn w:val="Normal"/>
    <w:link w:val="Style14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5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10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6">
    <w:name w:val="Содержимое врезки"/>
    <w:basedOn w:val="Normal"/>
    <w:qFormat/>
    <w:pPr/>
    <w:rPr/>
  </w:style>
  <w:style w:type="paragraph" w:styleId="Default">
    <w:name w:val="Default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0"/>
      <w:sz w:val="24"/>
      <w:szCs w:val="24"/>
      <w:u w:val="none"/>
      <w:lang w:val="ru-RU" w:eastAsia="en-US" w:bidi="ar-SA"/>
    </w:rPr>
  </w:style>
  <w:style w:type="paragraph" w:styleId="Style37">
    <w:name w:val="РГ_приложение"/>
    <w:basedOn w:val="Heading2"/>
    <w:qFormat/>
    <w:pPr>
      <w:keepNext w:val="true"/>
      <w:spacing w:beforeAutospacing="0" w:before="240" w:afterAutospacing="0" w:after="60"/>
      <w:jc w:val="right"/>
    </w:pPr>
    <w:rPr>
      <w:rFonts w:ascii="Calibri" w:hAnsi="Calibri" w:eastAsia="Times New Roman" w:cs="Calibri"/>
      <w:caps/>
      <w:szCs w:val="28"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</w:style>
  <w:style w:type="numbering" w:styleId="29" w:customStyle="1">
    <w:name w:val="Стиль2"/>
    <w:uiPriority w:val="99"/>
    <w:qFormat/>
  </w:style>
  <w:style w:type="table" w:styleId="768">
    <w:name w:val="Plain Table 1"/>
    <w:basedOn w:val="798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69">
    <w:name w:val="Plain Table 2"/>
    <w:basedOn w:val="79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70">
    <w:name w:val="Plain Table 3"/>
    <w:basedOn w:val="79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771">
    <w:name w:val="Plain Table 4"/>
    <w:basedOn w:val="79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72">
    <w:name w:val="Plain Table 5"/>
    <w:basedOn w:val="79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3">
    <w:name w:val="Grid Table 1 Light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74">
    <w:name w:val="Grid Table 2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5">
    <w:name w:val="Grid Table 3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6">
    <w:name w:val="Grid Table 4"/>
    <w:basedOn w:val="798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77">
    <w:name w:val="Grid Table 5 Dark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78">
    <w:name w:val="Grid Table 6 Colorful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779">
    <w:name w:val="Grid Table 7 Colorful"/>
    <w:basedOn w:val="79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80">
    <w:name w:val="List Table 1 Light"/>
    <w:basedOn w:val="79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2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82">
    <w:name w:val="List Table 3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3">
    <w:name w:val="List Table 4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84">
    <w:name w:val="List Table 5 Dark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85">
    <w:name w:val="List Table 6 Colorful"/>
    <w:basedOn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786">
    <w:name w:val="List Table 7 Colorful"/>
    <w:basedOn w:val="79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default="1" w:styleId="798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800">
    <w:name w:val="Таблица простая 11"/>
    <w:basedOn w:val="79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customStyle="1" w:styleId="801">
    <w:name w:val="Таблица простая 21"/>
    <w:basedOn w:val="79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customStyle="1" w:styleId="802">
    <w:name w:val="Таблица простая 31"/>
    <w:basedOn w:val="798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customStyle="1" w:styleId="803">
    <w:name w:val="Таблица простая 41"/>
    <w:basedOn w:val="798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04">
    <w:name w:val="Таблица простая 51"/>
    <w:basedOn w:val="798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05">
    <w:name w:val="Таблица-сетка 1 светлая1"/>
    <w:basedOn w:val="79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06">
    <w:name w:val="Таблица-сетка 21"/>
    <w:basedOn w:val="79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07">
    <w:name w:val="Таблица-сетка 31"/>
    <w:basedOn w:val="79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08">
    <w:name w:val="Таблица-сетка 41"/>
    <w:basedOn w:val="79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809">
    <w:name w:val="Таблица-сетка 5 темная1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customStyle="1" w:styleId="810">
    <w:name w:val="Таблица-сетка 6 цветная1"/>
    <w:basedOn w:val="79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</w:style>
  <w:style w:type="table" w:customStyle="1" w:styleId="811">
    <w:name w:val="Таблица-сетка 7 цветная1"/>
    <w:basedOn w:val="79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12">
    <w:name w:val="Список-таблица 1 светлая1"/>
    <w:basedOn w:val="798"/>
    <w:uiPriority w:val="99"/>
    <w:tblPr>
      <w:tblStyleRowBandSize w:val="1"/>
      <w:tblStyleColBandSize w:val="1"/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13">
    <w:name w:val="Список-таблица 21"/>
    <w:basedOn w:val="79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814">
    <w:name w:val="Список-таблица 31"/>
    <w:basedOn w:val="79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15">
    <w:name w:val="Список-таблица 41"/>
    <w:basedOn w:val="79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16">
    <w:name w:val="Список-таблица 5 темная1"/>
    <w:basedOn w:val="79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17">
    <w:name w:val="Список-таблица 6 цветная1"/>
    <w:basedOn w:val="79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818">
    <w:name w:val="Список-таблица 7 цветная1"/>
    <w:basedOn w:val="79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38">
    <w:name w:val="Table Grid Light"/>
    <w:basedOn w:val="79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customStyle="1" w:styleId="839">
    <w:name w:val="Таблица простая 11"/>
    <w:basedOn w:val="79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customStyle="1" w:styleId="840">
    <w:name w:val="Таблица простая 21"/>
    <w:basedOn w:val="79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customStyle="1" w:styleId="841">
    <w:name w:val="Таблица простая 31"/>
    <w:basedOn w:val="798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customStyle="1" w:styleId="842">
    <w:name w:val="Таблица простая 41"/>
    <w:basedOn w:val="798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43">
    <w:name w:val="Таблица простая 51"/>
    <w:basedOn w:val="798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44">
    <w:name w:val="Таблица-сетка 1 светлая1"/>
    <w:basedOn w:val="79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45">
    <w:name w:val="Grid Table 1 Light - Accent 1"/>
    <w:basedOn w:val="798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1ACDC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46">
    <w:name w:val="Grid Table 1 Light - Accent 2"/>
    <w:basedOn w:val="79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47">
    <w:name w:val="Grid Table 1 Light - Accent 3"/>
    <w:basedOn w:val="79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48">
    <w:name w:val="Grid Table 1 Light - Accent 4"/>
    <w:basedOn w:val="79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49">
    <w:name w:val="Grid Table 1 Light - Accent 5"/>
    <w:basedOn w:val="798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EC4E6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0">
    <w:name w:val="Grid Table 1 Light - Accent 6"/>
    <w:basedOn w:val="79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51">
    <w:name w:val="Таблица-сетка 21"/>
    <w:basedOn w:val="79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52">
    <w:name w:val="Grid Table 2 - Accent 1"/>
    <w:basedOn w:val="798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53">
    <w:name w:val="Grid Table 2 - Accent 2"/>
    <w:basedOn w:val="79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54">
    <w:name w:val="Grid Table 2 - Accent 3"/>
    <w:basedOn w:val="79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55">
    <w:name w:val="Grid Table 2 - Accent 4"/>
    <w:basedOn w:val="79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56">
    <w:name w:val="Grid Table 2 - Accent 5"/>
    <w:basedOn w:val="798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57">
    <w:name w:val="Grid Table 2 - Accent 6"/>
    <w:basedOn w:val="79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58">
    <w:name w:val="Таблица-сетка 31"/>
    <w:basedOn w:val="79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59">
    <w:name w:val="Grid Table 3 - Accent 1"/>
    <w:basedOn w:val="798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60">
    <w:name w:val="Grid Table 3 - Accent 2"/>
    <w:basedOn w:val="79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61">
    <w:name w:val="Grid Table 3 - Accent 3"/>
    <w:basedOn w:val="79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62">
    <w:name w:val="Grid Table 3 - Accent 4"/>
    <w:basedOn w:val="79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63">
    <w:name w:val="Grid Table 3 - Accent 5"/>
    <w:basedOn w:val="798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64">
    <w:name w:val="Grid Table 3 - Accent 6"/>
    <w:basedOn w:val="79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65">
    <w:name w:val="Таблица-сетка 41"/>
    <w:basedOn w:val="79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866">
    <w:name w:val="Grid Table 4 - Accent 1"/>
    <w:basedOn w:val="798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  <w:shd w:val="clear" w:color="537DC8" w:fill="537DC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</w:tcBorders>
      </w:tcPr>
    </w:tblStylePr>
  </w:style>
  <w:style w:type="table" w:customStyle="1" w:styleId="867">
    <w:name w:val="Grid Table 4 - Accent 2"/>
    <w:basedOn w:val="798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868">
    <w:name w:val="Grid Table 4 - Accent 3"/>
    <w:basedOn w:val="798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</w:style>
  <w:style w:type="table" w:customStyle="1" w:styleId="869">
    <w:name w:val="Grid Table 4 - Accent 4"/>
    <w:basedOn w:val="798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870">
    <w:name w:val="Grid Table 4 - Accent 5"/>
    <w:basedOn w:val="798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</w:tcBorders>
      </w:tcPr>
    </w:tblStylePr>
  </w:style>
  <w:style w:type="table" w:customStyle="1" w:styleId="871">
    <w:name w:val="Grid Table 4 - Accent 6"/>
    <w:basedOn w:val="798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</w:style>
  <w:style w:type="table" w:customStyle="1" w:styleId="872">
    <w:name w:val="Таблица-сетка 5 темная1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customStyle="1" w:styleId="873">
    <w:name w:val="Grid Table 5 Dark- Accent 1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A9BEE4" w:fill="A9BEE4" w:themeFill="accent1" w:themeFillTint="75"/>
      </w:tcPr>
    </w:tblStylePr>
    <w:tblStylePr w:type="band1Vert">
      <w:tblPr/>
      <w:tcPr>
        <w:shd w:val="clear" w:color="A9BEE4" w:fill="A9BEE4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1"/>
      </w:tcPr>
    </w:tblStylePr>
  </w:style>
  <w:style w:type="table" w:customStyle="1" w:styleId="874">
    <w:name w:val="Grid Table 5 Dark - Accent 2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6C3A0" w:fill="F6C3A0" w:themeFill="accent2" w:themeFillTint="75"/>
      </w:tcPr>
    </w:tblStylePr>
    <w:tblStylePr w:type="band1Vert">
      <w:tblPr/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</w:style>
  <w:style w:type="table" w:customStyle="1" w:styleId="875">
    <w:name w:val="Grid Table 5 Dark - Accent 3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D5D5D5" w:fill="D5D5D5" w:themeFill="accent3" w:themeFillTint="75"/>
      </w:tcPr>
    </w:tblStylePr>
    <w:tblStylePr w:type="band1Vert">
      <w:tblPr/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</w:style>
  <w:style w:type="table" w:customStyle="1" w:styleId="876">
    <w:name w:val="Grid Table 5 Dark- Accent 4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FE28A" w:fill="FFE28A" w:themeFill="accent4" w:themeFillTint="75"/>
      </w:tcPr>
    </w:tblStylePr>
    <w:tblStylePr w:type="band1Vert">
      <w:tblPr/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</w:style>
  <w:style w:type="table" w:customStyle="1" w:styleId="877">
    <w:name w:val="Grid Table 5 Dark - Accent 5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B3D0EB" w:fill="B3D0EB" w:themeFill="accent5" w:themeFillTint="7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5"/>
      </w:tcPr>
    </w:tblStylePr>
  </w:style>
  <w:style w:type="table" w:customStyle="1" w:styleId="878">
    <w:name w:val="Grid Table 5 Dark - Accent 6"/>
    <w:basedOn w:val="7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BCDBA8" w:fill="BCDBA8" w:themeFill="accent6" w:themeFillTint="75"/>
      </w:tcPr>
    </w:tblStylePr>
    <w:tblStylePr w:type="band1Vert">
      <w:tblPr/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</w:style>
  <w:style w:type="table" w:customStyle="1" w:styleId="879">
    <w:name w:val="Таблица-сетка 6 цветная1"/>
    <w:basedOn w:val="79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</w:style>
  <w:style w:type="table" w:customStyle="1" w:styleId="880">
    <w:name w:val="Grid Table 6 Colorful - Accent 1"/>
    <w:basedOn w:val="798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  <w:tblStylePr w:type="firstCol">
      <w:rPr>
        <w:b/>
        <w:color w:val="A0B7E1" w:themeColor="accent1" w:themeTint="80" w:themeShade="95"/>
      </w:rPr>
      <w:tblPr/>
    </w:tblStylePr>
    <w:tblStylePr w:type="firstRow">
      <w:rPr>
        <w:b/>
        <w:color w:val="A0B7E1" w:themeColor="accent1" w:themeTint="80" w:themeShade="95"/>
      </w:rPr>
      <w:tblPr/>
      <w:tcPr>
        <w:tcBorders>
          <w:bottom w:val="single" w:color="A0B7E1" w:themeColor="accent1" w:sz="12" w:space="0"/>
        </w:tcBorders>
      </w:tcPr>
    </w:tblStylePr>
    <w:tblStylePr w:type="lastCol">
      <w:rPr>
        <w:b/>
        <w:color w:val="A0B7E1" w:themeColor="accent1" w:themeTint="80" w:themeShade="95"/>
      </w:rPr>
      <w:tblPr/>
    </w:tblStylePr>
    <w:tblStylePr w:type="lastRow">
      <w:rPr>
        <w:b/>
        <w:color w:val="A0B7E1" w:themeColor="accent1" w:themeTint="80" w:themeShade="95"/>
      </w:rPr>
      <w:tblPr/>
    </w:tblStylePr>
  </w:style>
  <w:style w:type="table" w:customStyle="1" w:styleId="881">
    <w:name w:val="Grid Table 6 Colorful - Accent 2"/>
    <w:basedOn w:val="79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</w:tblStylePr>
  </w:style>
  <w:style w:type="table" w:customStyle="1" w:styleId="882">
    <w:name w:val="Grid Table 6 Colorful - Accent 3"/>
    <w:basedOn w:val="798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  <w:tblPr/>
    </w:tblStylePr>
    <w:tblStylePr w:type="lastRow">
      <w:rPr>
        <w:b/>
        <w:color w:val="A5A5A5" w:themeColor="accent3" w:themeTint="fe" w:themeShade="95"/>
      </w:rPr>
      <w:tblPr/>
    </w:tblStylePr>
  </w:style>
  <w:style w:type="table" w:customStyle="1" w:styleId="883">
    <w:name w:val="Grid Table 6 Colorful - Accent 4"/>
    <w:basedOn w:val="79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</w:tblStylePr>
  </w:style>
  <w:style w:type="table" w:customStyle="1" w:styleId="884">
    <w:name w:val="Grid Table 6 Colorful - Accent 5"/>
    <w:basedOn w:val="798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  <w:tblStylePr w:type="firstCol">
      <w:rPr>
        <w:b/>
        <w:color w:val="245A8D" w:themeColor="accent5" w:themeShade="95"/>
      </w:rPr>
      <w:tblPr/>
    </w:tblStylePr>
    <w:tblStylePr w:type="firstRow">
      <w:rPr>
        <w:b/>
        <w:color w:val="245A8D" w:themeColor="accent5" w:themeShade="95"/>
      </w:rPr>
      <w:tblPr/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tblPr/>
    </w:tblStylePr>
    <w:tblStylePr w:type="lastRow">
      <w:rPr>
        <w:b/>
        <w:color w:val="245A8D" w:themeColor="accent5" w:themeShade="95"/>
      </w:rPr>
      <w:tblPr/>
    </w:tblStylePr>
  </w:style>
  <w:style w:type="table" w:customStyle="1" w:styleId="885">
    <w:name w:val="Grid Table 6 Colorful - Accent 6"/>
    <w:basedOn w:val="798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  <w:tblPr/>
    </w:tblStylePr>
    <w:tblStylePr w:type="firstCol">
      <w:rPr>
        <w:b/>
        <w:color w:val="245A8D" w:themeColor="accent5" w:themeShade="95"/>
      </w:rPr>
      <w:tblPr/>
    </w:tblStylePr>
    <w:tblStylePr w:type="firstRow">
      <w:rPr>
        <w:b/>
        <w:color w:val="245A8D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tblPr/>
    </w:tblStylePr>
    <w:tblStylePr w:type="lastRow">
      <w:rPr>
        <w:b/>
        <w:color w:val="245A8D" w:themeColor="accent5" w:themeShade="95"/>
      </w:rPr>
      <w:tblPr/>
    </w:tblStylePr>
  </w:style>
  <w:style w:type="table" w:customStyle="1" w:styleId="886">
    <w:name w:val="Таблица-сетка 7 цветная1"/>
    <w:basedOn w:val="79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87">
    <w:name w:val="Grid Table 7 Colorful - Accent 1"/>
    <w:basedOn w:val="798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sz="4" w:space="0"/>
        </w:tcBorders>
        <w:shd w:val="clear" w:color="FFFFFF" w:fill="auto"/>
      </w:tcPr>
    </w:tblStyle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0B7E1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single" w:color="A0B7E1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color="A0B7E1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88">
    <w:name w:val="Grid Table 7 Colorful - Accent 2"/>
    <w:basedOn w:val="798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89">
    <w:name w:val="Grid Table 7 Colorful - Accent 3"/>
    <w:basedOn w:val="798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  <w:shd w:val="clear" w:color="FFFFFF" w:fill="auto"/>
      </w:tcPr>
    </w:tblStyle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90">
    <w:name w:val="Grid Table 7 Colorful - Accent 4"/>
    <w:basedOn w:val="798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91">
    <w:name w:val="Grid Table 7 Colorful - Accent 5"/>
    <w:basedOn w:val="798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sz="4" w:space="0"/>
        </w:tcBorders>
        <w:shd w:val="clear" w:color="FFFFFF" w:fill="auto"/>
      </w:tcPr>
    </w:tblStylePr>
    <w:tblStylePr w:type="firstRow">
      <w:rPr>
        <w:b/>
        <w:color w:val="245A8D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2C6E7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color="000000" w:sz="0" w:space="0"/>
          <w:left w:val="single" w:color="A2C6E7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color="A2C6E7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92">
    <w:name w:val="Grid Table 7 Colorful - Accent 6"/>
    <w:basedOn w:val="798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sz="4" w:space="0"/>
        </w:tcBorders>
        <w:shd w:val="clear" w:color="FFFFFF" w:fill="auto"/>
      </w:tcPr>
    </w:tblStyle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DD394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single" w:color="ADD394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93">
    <w:name w:val="Список-таблица 1 светлая1"/>
    <w:basedOn w:val="798"/>
    <w:uiPriority w:val="99"/>
    <w:tblPr>
      <w:tblStyleRowBandSize w:val="1"/>
      <w:tblStyleColBandSize w:val="1"/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94">
    <w:name w:val="List Table 1 Light - Accent 1"/>
    <w:basedOn w:val="798"/>
    <w:uiPriority w:val="99"/>
    <w:tblPr>
      <w:tblStyleRowBandSize w:val="1"/>
      <w:tblStyleColBandSize w:val="1"/>
    </w:tblPr>
    <w:tblStylePr w:type="band1Horz"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95">
    <w:name w:val="List Table 1 Light - Accent 2"/>
    <w:basedOn w:val="798"/>
    <w:uiPriority w:val="99"/>
    <w:tblPr>
      <w:tblStyleRowBandSize w:val="1"/>
      <w:tblStyleColBandSize w:val="1"/>
    </w:tblPr>
    <w:tblStylePr w:type="band1Horz"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96">
    <w:name w:val="List Table 1 Light - Accent 3"/>
    <w:basedOn w:val="798"/>
    <w:uiPriority w:val="99"/>
    <w:tblPr>
      <w:tblStyleRowBandSize w:val="1"/>
      <w:tblStyleColBandSize w:val="1"/>
    </w:tblPr>
    <w:tblStylePr w:type="band1Horz"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97">
    <w:name w:val="List Table 1 Light - Accent 4"/>
    <w:basedOn w:val="798"/>
    <w:uiPriority w:val="99"/>
    <w:tblPr>
      <w:tblStyleRowBandSize w:val="1"/>
      <w:tblStyleColBandSize w:val="1"/>
    </w:tblPr>
    <w:tblStylePr w:type="band1Horz"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98">
    <w:name w:val="List Table 1 Light - Accent 5"/>
    <w:basedOn w:val="798"/>
    <w:uiPriority w:val="99"/>
    <w:tblPr>
      <w:tblStyleRowBandSize w:val="1"/>
      <w:tblStyleColBandSize w:val="1"/>
    </w:tblPr>
    <w:tblStylePr w:type="band1Horz"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99">
    <w:name w:val="List Table 1 Light - Accent 6"/>
    <w:basedOn w:val="798"/>
    <w:uiPriority w:val="99"/>
    <w:tblPr>
      <w:tblStyleRowBandSize w:val="1"/>
      <w:tblStyleColBandSize w:val="1"/>
    </w:tblPr>
    <w:tblStylePr w:type="band1Horz"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00">
    <w:name w:val="Список-таблица 21"/>
    <w:basedOn w:val="79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901">
    <w:name w:val="List Table 2 - Accent 1"/>
    <w:basedOn w:val="798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</w:style>
  <w:style w:type="table" w:customStyle="1" w:styleId="902">
    <w:name w:val="List Table 2 - Accent 2"/>
    <w:basedOn w:val="798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customStyle="1" w:styleId="903">
    <w:name w:val="List Table 2 - Accent 3"/>
    <w:basedOn w:val="798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customStyle="1" w:styleId="904">
    <w:name w:val="List Table 2 - Accent 4"/>
    <w:basedOn w:val="798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customStyle="1" w:styleId="905">
    <w:name w:val="List Table 2 - Accent 5"/>
    <w:basedOn w:val="798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</w:style>
  <w:style w:type="table" w:customStyle="1" w:styleId="906">
    <w:name w:val="List Table 2 - Accent 6"/>
    <w:basedOn w:val="798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customStyle="1" w:styleId="907">
    <w:name w:val="Список-таблица 31"/>
    <w:basedOn w:val="79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08">
    <w:name w:val="List Table 3 - Accent 1"/>
    <w:basedOn w:val="798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09">
    <w:name w:val="List Table 3 - Accent 2"/>
    <w:basedOn w:val="79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10">
    <w:name w:val="List Table 3 - Accent 3"/>
    <w:basedOn w:val="798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11">
    <w:name w:val="List Table 3 - Accent 4"/>
    <w:basedOn w:val="79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12">
    <w:name w:val="List Table 3 - Accent 5"/>
    <w:basedOn w:val="798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13">
    <w:name w:val="List Table 3 - Accent 6"/>
    <w:basedOn w:val="798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14">
    <w:name w:val="Список-таблица 41"/>
    <w:basedOn w:val="79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15">
    <w:name w:val="List Table 4 - Accent 1"/>
    <w:basedOn w:val="798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16">
    <w:name w:val="List Table 4 - Accent 2"/>
    <w:basedOn w:val="798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17">
    <w:name w:val="List Table 4 - Accent 3"/>
    <w:basedOn w:val="798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18">
    <w:name w:val="List Table 4 - Accent 4"/>
    <w:basedOn w:val="798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19">
    <w:name w:val="List Table 4 - Accent 5"/>
    <w:basedOn w:val="798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20">
    <w:name w:val="List Table 4 - Accent 6"/>
    <w:basedOn w:val="798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21">
    <w:name w:val="Список-таблица 5 темная1"/>
    <w:basedOn w:val="79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22">
    <w:name w:val="List Table 5 Dark - Accent 1"/>
    <w:basedOn w:val="798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fill="4472C4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fill="4472C4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23">
    <w:name w:val="List Table 5 Dark - Accent 2"/>
    <w:basedOn w:val="798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24">
    <w:name w:val="List Table 5 Dark - Accent 3"/>
    <w:basedOn w:val="798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25">
    <w:name w:val="List Table 5 Dark - Accent 4"/>
    <w:basedOn w:val="798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26">
    <w:name w:val="List Table 5 Dark - Accent 5"/>
    <w:basedOn w:val="798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9BC2E5" w:themeColor="accent5" w:sz="32" w:space="0"/>
          <w:bottom w:val="single" w:color="FFFFFF" w:themeColor="light1" w:sz="12" w:space="0"/>
        </w:tcBorders>
        <w:shd w:val="clear" w:color="9BC2E5" w:fill="9BC2E5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27">
    <w:name w:val="List Table 5 Dark - Accent 6"/>
    <w:basedOn w:val="798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28">
    <w:name w:val="Список-таблица 6 цветная1"/>
    <w:basedOn w:val="79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929">
    <w:name w:val="List Table 6 Colorful - Accent 1"/>
    <w:basedOn w:val="798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  <w:tblStylePr w:type="firstCol">
      <w:rPr>
        <w:b/>
        <w:color w:val="254175" w:themeColor="accent1" w:themeShade="95"/>
      </w:rPr>
      <w:tblPr/>
    </w:tblStylePr>
    <w:tblStylePr w:type="firstRow">
      <w:rPr>
        <w:b/>
        <w:color w:val="254175" w:themeColor="accent1" w:themeShade="95"/>
      </w:rPr>
      <w:tblPr/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tblPr/>
    </w:tblStylePr>
    <w:tblStylePr w:type="lastRow">
      <w:rPr>
        <w:b/>
        <w:color w:val="254175" w:themeColor="accent1" w:themeShade="95"/>
      </w:rPr>
      <w:tblPr/>
      <w:tcPr>
        <w:tcBorders>
          <w:top w:val="single" w:color="4472C4" w:themeColor="accent1" w:sz="4" w:space="0"/>
        </w:tcBorders>
      </w:tcPr>
    </w:tblStylePr>
  </w:style>
  <w:style w:type="table" w:customStyle="1" w:styleId="930">
    <w:name w:val="List Table 6 Colorful - Accent 2"/>
    <w:basedOn w:val="798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931">
    <w:name w:val="List Table 6 Colorful - Accent 3"/>
    <w:basedOn w:val="798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firstCol">
      <w:rPr>
        <w:b/>
        <w:color w:val="C9C9C9" w:themeColor="accent3" w:themeTint="98" w:themeShade="95"/>
      </w:rPr>
      <w:tblPr/>
    </w:tblStylePr>
    <w:tblStylePr w:type="firstRow"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  <w:tblPr/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</w:style>
  <w:style w:type="table" w:customStyle="1" w:styleId="932">
    <w:name w:val="List Table 6 Colorful - Accent 4"/>
    <w:basedOn w:val="798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933">
    <w:name w:val="List Table 6 Colorful - Accent 5"/>
    <w:basedOn w:val="798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  <w:tblStylePr w:type="firstCol">
      <w:rPr>
        <w:b/>
        <w:color w:val="9BC2E5" w:themeColor="accent5" w:themeTint="9a" w:themeShade="95"/>
      </w:rPr>
      <w:tblPr/>
    </w:tblStylePr>
    <w:tblStylePr w:type="firstRow">
      <w:rPr>
        <w:b/>
        <w:color w:val="9BC2E5" w:themeColor="accent5" w:themeTint="9a" w:themeShade="95"/>
      </w:rPr>
      <w:tblPr/>
      <w:tcPr>
        <w:tcBorders>
          <w:bottom w:val="single" w:color="9BC2E5" w:themeColor="accent5" w:sz="4" w:space="0"/>
        </w:tcBorders>
      </w:tcPr>
    </w:tblStylePr>
    <w:tblStylePr w:type="lastCol">
      <w:rPr>
        <w:b/>
        <w:color w:val="9BC2E5" w:themeColor="accent5" w:themeTint="9a" w:themeShade="95"/>
      </w:rPr>
      <w:tblPr/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color="9BC2E5" w:themeColor="accent5" w:sz="4" w:space="0"/>
        </w:tcBorders>
      </w:tcPr>
    </w:tblStylePr>
  </w:style>
  <w:style w:type="table" w:customStyle="1" w:styleId="934">
    <w:name w:val="List Table 6 Colorful - Accent 6"/>
    <w:basedOn w:val="798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firstCol">
      <w:rPr>
        <w:b/>
        <w:color w:val="A9D08E" w:themeColor="accent6" w:themeTint="98" w:themeShade="95"/>
      </w:rPr>
      <w:tblPr/>
    </w:tblStylePr>
    <w:tblStylePr w:type="firstRow"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  <w:tblPr/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</w:style>
  <w:style w:type="table" w:customStyle="1" w:styleId="935">
    <w:name w:val="Список-таблица 7 цветная1"/>
    <w:basedOn w:val="79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36">
    <w:name w:val="List Table 7 Colorful - Accent 1"/>
    <w:basedOn w:val="798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  <w:shd w:val="clear" w:color="FFFFFF" w:fill="auto"/>
      </w:tcPr>
    </w:tblStylePr>
    <w:tblStylePr w:type="firstRow"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37">
    <w:name w:val="List Table 7 Colorful - Accent 2"/>
    <w:basedOn w:val="798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38">
    <w:name w:val="List Table 7 Colorful - Accent 3"/>
    <w:basedOn w:val="798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sz="4" w:space="0"/>
        </w:tcBorders>
        <w:shd w:val="clear" w:color="FFFFFF" w:fill="auto"/>
      </w:tcPr>
    </w:tblStyle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C9C9C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single" w:color="C9C9C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39">
    <w:name w:val="List Table 7 Colorful - Accent 4"/>
    <w:basedOn w:val="798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40">
    <w:name w:val="List Table 7 Colorful - Accent 5"/>
    <w:basedOn w:val="798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sz="4" w:space="0"/>
        </w:tcBorders>
        <w:shd w:val="clear" w:color="FFFFFF" w:fill="auto"/>
      </w:tcPr>
    </w:tblStyle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BC2E5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single" w:color="9BC2E5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color="9BC2E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41">
    <w:name w:val="List Table 7 Colorful - Accent 6"/>
    <w:basedOn w:val="798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sz="4" w:space="0"/>
        </w:tcBorders>
        <w:shd w:val="clear" w:color="FFFFFF" w:fill="auto"/>
      </w:tcPr>
    </w:tblStyle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9D08E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single" w:color="A9D08E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42">
    <w:name w:val="Lined - Accent"/>
    <w:basedOn w:val="798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943">
    <w:name w:val="Lined - Accent 1"/>
    <w:basedOn w:val="798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</w:style>
  <w:style w:type="table" w:customStyle="1" w:styleId="944">
    <w:name w:val="Lined - Accent 2"/>
    <w:basedOn w:val="798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945">
    <w:name w:val="Lined - Accent 3"/>
    <w:basedOn w:val="798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946">
    <w:name w:val="Lined - Accent 4"/>
    <w:basedOn w:val="798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947">
    <w:name w:val="Lined - Accent 5"/>
    <w:basedOn w:val="798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</w:style>
  <w:style w:type="table" w:customStyle="1" w:styleId="948">
    <w:name w:val="Lined - Accent 6"/>
    <w:basedOn w:val="798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</w:style>
  <w:style w:type="table" w:customStyle="1" w:styleId="949">
    <w:name w:val="Bordered &amp; Lined - Accent"/>
    <w:basedOn w:val="79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950">
    <w:name w:val="Bordered &amp; Lined - Accent 1"/>
    <w:basedOn w:val="798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</w:style>
  <w:style w:type="table" w:customStyle="1" w:styleId="951">
    <w:name w:val="Bordered &amp; Lined - Accent 2"/>
    <w:basedOn w:val="798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952">
    <w:name w:val="Bordered &amp; Lined - Accent 3"/>
    <w:basedOn w:val="798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953">
    <w:name w:val="Bordered &amp; Lined - Accent 4"/>
    <w:basedOn w:val="798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954">
    <w:name w:val="Bordered &amp; Lined - Accent 5"/>
    <w:basedOn w:val="798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</w:style>
  <w:style w:type="table" w:customStyle="1" w:styleId="955">
    <w:name w:val="Bordered &amp; Lined - Accent 6"/>
    <w:basedOn w:val="798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</w:style>
  <w:style w:type="table" w:customStyle="1" w:styleId="956">
    <w:name w:val="Bordered"/>
    <w:basedOn w:val="79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957">
    <w:name w:val="Bordered - Accent 1"/>
    <w:basedOn w:val="798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1" w:sz="12" w:space="0"/>
        </w:tcBorders>
      </w:tcPr>
    </w:tblStylePr>
  </w:style>
  <w:style w:type="table" w:customStyle="1" w:styleId="958">
    <w:name w:val="Bordered - Accent 2"/>
    <w:basedOn w:val="79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4B184" w:themeColor="accent2" w:sz="12" w:space="0"/>
        </w:tcBorders>
      </w:tcPr>
    </w:tblStylePr>
  </w:style>
  <w:style w:type="table" w:customStyle="1" w:styleId="959">
    <w:name w:val="Bordered - Accent 3"/>
    <w:basedOn w:val="79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9C9C9" w:themeColor="accent3" w:sz="12" w:space="0"/>
        </w:tcBorders>
      </w:tcPr>
    </w:tblStylePr>
  </w:style>
  <w:style w:type="table" w:customStyle="1" w:styleId="960">
    <w:name w:val="Bordered - Accent 4"/>
    <w:basedOn w:val="79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D865" w:themeColor="accent4" w:sz="12" w:space="0"/>
        </w:tcBorders>
      </w:tcPr>
    </w:tblStylePr>
  </w:style>
  <w:style w:type="table" w:customStyle="1" w:styleId="961">
    <w:name w:val="Bordered - Accent 5"/>
    <w:basedOn w:val="798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9BC2E5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9BC2E5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BC2E5" w:themeColor="accent5" w:sz="12" w:space="0"/>
        </w:tcBorders>
      </w:tcPr>
    </w:tblStylePr>
  </w:style>
  <w:style w:type="table" w:customStyle="1" w:styleId="962">
    <w:name w:val="Bordered - Accent 6"/>
    <w:basedOn w:val="79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9D08E" w:themeColor="accent6" w:sz="12" w:space="0"/>
        </w:tcBorders>
      </w:tcPr>
    </w:tblStylePr>
  </w:style>
  <w:style w:type="table" w:styleId="977">
    <w:name w:val="Table Grid"/>
    <w:basedOn w:val="79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72">
    <w:name w:val="Сетка таблицы1"/>
    <w:basedOn w:val="798"/>
    <w:uiPriority w:val="39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header" Target="header4.xml"/><Relationship Id="rId7" Type="http://schemas.openxmlformats.org/officeDocument/2006/relationships/header" Target="header5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header" Target="header6.xml"/><Relationship Id="rId11" Type="http://schemas.openxmlformats.org/officeDocument/2006/relationships/header" Target="header7.xml"/><Relationship Id="rId12" Type="http://schemas.openxmlformats.org/officeDocument/2006/relationships/footer" Target="footer4.xml"/><Relationship Id="rId13" Type="http://schemas.openxmlformats.org/officeDocument/2006/relationships/footer" Target="footer5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Application>AlterOffice/2025.3.1.0$Linux_X86_64 LibreOffice_project/431cd1b79110582f53535c95ed0a2449aadc8bf9</Application>
  <AppVersion>15.0000</AppVersion>
  <Pages>20</Pages>
  <Words>3880</Words>
  <Characters>27165</Characters>
  <CharactersWithSpaces>30965</CharactersWithSpaces>
  <Paragraphs>326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Быстров Олег Геннадьевич</dc:creator>
  <dc:description/>
  <dc:language>ru-RU</dc:language>
  <cp:lastModifiedBy>evstratenko_av@DGK.RU</cp:lastModifiedBy>
  <dcterms:modified xsi:type="dcterms:W3CDTF">2026-08-25T10:58:11Z</dcterms:modified>
  <cp:revision>61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